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07F803D4" w:rsidR="004C5767" w:rsidRPr="00051FD0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proofErr w:type="spellStart"/>
      <w:r w:rsidR="00E75530" w:rsidRPr="00E75530">
        <w:rPr>
          <w:b w:val="0"/>
          <w:bCs/>
        </w:rPr>
        <w:t>Kygevvi</w:t>
      </w:r>
      <w:proofErr w:type="spellEnd"/>
      <w:r w:rsidR="00E75530" w:rsidRPr="00E75530">
        <w:rPr>
          <w:b w:val="0"/>
          <w:bCs/>
        </w:rPr>
        <w:t xml:space="preserve"> Clinical Edit</w:t>
      </w:r>
    </w:p>
    <w:p w14:paraId="7AD7FFCE" w14:textId="264B3B7F" w:rsidR="004C5767" w:rsidRPr="00051FD0" w:rsidRDefault="004C5767" w:rsidP="00D27533">
      <w:pPr>
        <w:pStyle w:val="tbody"/>
        <w:rPr>
          <w:b w:val="0"/>
          <w:bCs/>
        </w:rPr>
      </w:pPr>
      <w:r w:rsidRPr="00C02553">
        <w:t xml:space="preserve">First Implementation Date: </w:t>
      </w:r>
      <w:r w:rsidR="00E75530">
        <w:rPr>
          <w:b w:val="0"/>
          <w:bCs/>
        </w:rPr>
        <w:t>TBD</w:t>
      </w:r>
    </w:p>
    <w:p w14:paraId="4B7D760D" w14:textId="4B647F9E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F62763">
        <w:rPr>
          <w:b w:val="0"/>
        </w:rPr>
        <w:t>July 14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2F363EFF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AA4731">
        <w:rPr>
          <w:b w:val="0"/>
          <w:bCs/>
          <w:spacing w:val="-3"/>
        </w:rPr>
        <w:t>New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632FA8B2" w:rsidR="00D47996" w:rsidRDefault="79EEA449" w:rsidP="00696E3A">
      <w:r>
        <w:t>Ensure appropriate utilization and control of</w:t>
      </w:r>
      <w:r w:rsidR="00D47996">
        <w:t xml:space="preserve"> </w:t>
      </w:r>
      <w:proofErr w:type="spellStart"/>
      <w:r w:rsidR="00134216" w:rsidRPr="00E75530">
        <w:rPr>
          <w:bCs/>
        </w:rPr>
        <w:t>Kygevvi</w:t>
      </w:r>
      <w:proofErr w:type="spellEnd"/>
      <w:r w:rsidR="00134216" w:rsidRPr="00D92846">
        <w:rPr>
          <w:bCs/>
          <w:vertAlign w:val="superscript"/>
        </w:rPr>
        <w:t>®</w:t>
      </w:r>
      <w:r w:rsidR="00134216">
        <w:rPr>
          <w:bCs/>
          <w:vertAlign w:val="superscript"/>
        </w:rPr>
        <w:t xml:space="preserve"> </w:t>
      </w:r>
      <w:r w:rsidR="00134216">
        <w:rPr>
          <w:bCs/>
        </w:rPr>
        <w:t>(</w:t>
      </w:r>
      <w:proofErr w:type="spellStart"/>
      <w:r w:rsidR="007C1A09">
        <w:rPr>
          <w:bCs/>
        </w:rPr>
        <w:t>d</w:t>
      </w:r>
      <w:r w:rsidR="00134216">
        <w:rPr>
          <w:bCs/>
        </w:rPr>
        <w:t>execitine</w:t>
      </w:r>
      <w:proofErr w:type="spellEnd"/>
      <w:r w:rsidR="00134216">
        <w:rPr>
          <w:bCs/>
        </w:rPr>
        <w:t>/</w:t>
      </w:r>
      <w:proofErr w:type="spellStart"/>
      <w:r w:rsidR="007C1A09">
        <w:rPr>
          <w:bCs/>
        </w:rPr>
        <w:t>d</w:t>
      </w:r>
      <w:r w:rsidR="00134216">
        <w:rPr>
          <w:bCs/>
        </w:rPr>
        <w:t>oxribtimine</w:t>
      </w:r>
      <w:proofErr w:type="spellEnd"/>
      <w:r w:rsidR="00134216">
        <w:rPr>
          <w:bCs/>
        </w:rPr>
        <w:t>)</w:t>
      </w:r>
      <w:r w:rsidR="00D47996">
        <w:t xml:space="preserve">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0D6DBE17" w14:textId="07167BFC" w:rsidR="00D37CFD" w:rsidRDefault="00C974C6" w:rsidP="00CB592D">
      <w:r w:rsidRPr="00BF300E">
        <w:t>In November of 2025</w:t>
      </w:r>
      <w:r w:rsidR="00E05FD9">
        <w:t>,</w:t>
      </w:r>
      <w:r w:rsidRPr="00BF300E">
        <w:t xml:space="preserve"> </w:t>
      </w:r>
      <w:proofErr w:type="spellStart"/>
      <w:r w:rsidRPr="00BF300E">
        <w:t>Kyge</w:t>
      </w:r>
      <w:r w:rsidR="00B42C2A" w:rsidRPr="00BF300E">
        <w:t>vvi</w:t>
      </w:r>
      <w:proofErr w:type="spellEnd"/>
      <w:r w:rsidR="003D5EC8" w:rsidRPr="00BF300E">
        <w:rPr>
          <w:rFonts w:cs="Arial"/>
          <w:spacing w:val="-3"/>
          <w:vertAlign w:val="superscript"/>
        </w:rPr>
        <w:t>®</w:t>
      </w:r>
      <w:r w:rsidR="006E4AA6" w:rsidRPr="00BF300E">
        <w:rPr>
          <w:rFonts w:cs="Arial"/>
          <w:spacing w:val="-3"/>
          <w:vertAlign w:val="superscript"/>
        </w:rPr>
        <w:t xml:space="preserve"> </w:t>
      </w:r>
      <w:r w:rsidR="00F76FE6">
        <w:rPr>
          <w:bCs/>
        </w:rPr>
        <w:t>(</w:t>
      </w:r>
      <w:proofErr w:type="spellStart"/>
      <w:r w:rsidR="007C1A09">
        <w:rPr>
          <w:bCs/>
        </w:rPr>
        <w:t>d</w:t>
      </w:r>
      <w:r w:rsidR="00F76FE6">
        <w:rPr>
          <w:bCs/>
        </w:rPr>
        <w:t>execitine</w:t>
      </w:r>
      <w:proofErr w:type="spellEnd"/>
      <w:r w:rsidR="00F76FE6">
        <w:rPr>
          <w:bCs/>
        </w:rPr>
        <w:t>/</w:t>
      </w:r>
      <w:proofErr w:type="spellStart"/>
      <w:r w:rsidR="007C1A09">
        <w:rPr>
          <w:bCs/>
        </w:rPr>
        <w:t>d</w:t>
      </w:r>
      <w:r w:rsidR="00F76FE6">
        <w:rPr>
          <w:bCs/>
        </w:rPr>
        <w:t>oxribtimine</w:t>
      </w:r>
      <w:proofErr w:type="spellEnd"/>
      <w:r w:rsidR="00F76FE6">
        <w:rPr>
          <w:bCs/>
        </w:rPr>
        <w:t>)</w:t>
      </w:r>
      <w:r w:rsidR="00F76FE6">
        <w:t xml:space="preserve"> </w:t>
      </w:r>
      <w:r w:rsidR="006E4AA6" w:rsidRPr="00BF300E">
        <w:t xml:space="preserve">gained FDA approval </w:t>
      </w:r>
      <w:r w:rsidR="00CB592D" w:rsidRPr="00BF300E">
        <w:t>for the treatment of thymidine kinase 2 deficiency (TK2d) in adults and pediatric patients with an age of symptom onset on or before 12 years.</w:t>
      </w:r>
      <w:r w:rsidR="006E4AA6" w:rsidRPr="00BF300E">
        <w:t xml:space="preserve"> </w:t>
      </w:r>
      <w:r w:rsidR="00CB592D" w:rsidRPr="00BF300E">
        <w:t>TK2d is an ultra-rare genetic disorder that primarily affects muscle function.</w:t>
      </w:r>
      <w:r w:rsidR="00D37CFD">
        <w:t xml:space="preserve"> </w:t>
      </w:r>
      <w:r w:rsidR="00BE5E54">
        <w:t xml:space="preserve">It </w:t>
      </w:r>
      <w:r w:rsidR="00E26686">
        <w:t xml:space="preserve">has been reported that only ~120 </w:t>
      </w:r>
      <w:r w:rsidR="0023324D">
        <w:t xml:space="preserve">cases are documented worldwide, though the condition may be underdiagnosed. </w:t>
      </w:r>
      <w:r w:rsidR="00670165">
        <w:t>Diagnosis</w:t>
      </w:r>
      <w:r w:rsidR="00D218FE">
        <w:t xml:space="preserve"> </w:t>
      </w:r>
      <w:r w:rsidR="00326299">
        <w:t xml:space="preserve">of TK2d results from symptom onset and </w:t>
      </w:r>
      <w:r w:rsidR="00E56DBE">
        <w:t xml:space="preserve">is </w:t>
      </w:r>
      <w:r w:rsidR="00326299">
        <w:t xml:space="preserve">confirmed by genetic testing. </w:t>
      </w:r>
      <w:r w:rsidR="00D37CFD">
        <w:t>Symptoms include progressive muscle weakness</w:t>
      </w:r>
      <w:r w:rsidR="0085487C">
        <w:t xml:space="preserve"> in the arms and legs, difficulty breathing, eye muscle weakness and chewing and swallowing issues.</w:t>
      </w:r>
      <w:r w:rsidR="00986396">
        <w:t xml:space="preserve"> Age of symptom onset and disease progression varies widely among patients with the disease</w:t>
      </w:r>
      <w:r w:rsidR="00160348">
        <w:t>.</w:t>
      </w:r>
      <w:r w:rsidR="00937BF4">
        <w:t xml:space="preserve"> The earlier the onset of symptoms typically indicates more severe and faster progressing disease. </w:t>
      </w:r>
      <w:r w:rsidR="00D37CFD" w:rsidRPr="00BF300E">
        <w:t>Kygevvi marks the first treatment for TK2d</w:t>
      </w:r>
      <w:r w:rsidR="00080122">
        <w:t xml:space="preserve"> and</w:t>
      </w:r>
      <w:r w:rsidR="00281B0C">
        <w:t xml:space="preserve"> is supplied in single dose powder packets</w:t>
      </w:r>
      <w:r w:rsidR="00857658">
        <w:t>.</w:t>
      </w:r>
      <w:r w:rsidR="00F1090E">
        <w:t xml:space="preserve"> </w:t>
      </w:r>
    </w:p>
    <w:p w14:paraId="13A29D3A" w14:textId="77777777" w:rsidR="00FB310F" w:rsidRDefault="00FB310F" w:rsidP="00CB592D"/>
    <w:p w14:paraId="39D9CB18" w14:textId="117340B5" w:rsidR="00FB310F" w:rsidRDefault="00FB310F" w:rsidP="00CB592D">
      <w:r w:rsidRPr="00627971">
        <w:rPr>
          <w:rFonts w:cs="Arial"/>
          <w:spacing w:val="-3"/>
        </w:rPr>
        <w:t xml:space="preserve">Due to </w:t>
      </w:r>
      <w:r w:rsidRPr="00BF300E">
        <w:t>Kygevvi</w:t>
      </w:r>
      <w:r w:rsidRPr="00627971">
        <w:rPr>
          <w:rFonts w:cs="Arial"/>
          <w:spacing w:val="-3"/>
        </w:rPr>
        <w:t>’s highly specific indication</w:t>
      </w:r>
      <w:r w:rsidR="00077DC6">
        <w:rPr>
          <w:rFonts w:cs="Arial"/>
          <w:spacing w:val="-3"/>
        </w:rPr>
        <w:t xml:space="preserve"> </w:t>
      </w:r>
      <w:r w:rsidRPr="00627971">
        <w:rPr>
          <w:rFonts w:cs="Arial"/>
          <w:spacing w:val="-3"/>
        </w:rPr>
        <w:t xml:space="preserve">and </w:t>
      </w:r>
      <w:r w:rsidR="001C094F">
        <w:rPr>
          <w:rFonts w:cs="Arial"/>
          <w:spacing w:val="-3"/>
        </w:rPr>
        <w:t>high cost</w:t>
      </w:r>
      <w:r w:rsidRPr="00627971">
        <w:rPr>
          <w:rFonts w:cs="Arial"/>
          <w:spacing w:val="-3"/>
        </w:rPr>
        <w:t>, MO HealthNet will impose criteria to ensure appropriate utilization.</w:t>
      </w:r>
    </w:p>
    <w:p w14:paraId="4D02CB0F" w14:textId="77777777" w:rsidR="00BF300E" w:rsidRDefault="00BF300E" w:rsidP="00CB592D"/>
    <w:p w14:paraId="5B5260CF" w14:textId="1338FD65" w:rsidR="003D4704" w:rsidRPr="00AD17B7" w:rsidRDefault="003D4704" w:rsidP="003D4704">
      <w:r>
        <w:rPr>
          <w:b/>
          <w:bCs/>
        </w:rPr>
        <w:t xml:space="preserve">Program-Specific Information: </w:t>
      </w:r>
      <w:r>
        <w:t>Dat</w:t>
      </w:r>
      <w:r w:rsidR="00ED760F">
        <w:t>e</w:t>
      </w:r>
      <w:r>
        <w:t xml:space="preserve"> Ranges FFS </w:t>
      </w:r>
      <w:r w:rsidR="00F62763">
        <w:t>4-1</w:t>
      </w:r>
      <w:r>
        <w:t>-202</w:t>
      </w:r>
      <w:r w:rsidR="00F62763">
        <w:t>5</w:t>
      </w:r>
      <w:r>
        <w:t xml:space="preserve"> to </w:t>
      </w:r>
      <w:r w:rsidR="00F62763">
        <w:t>3</w:t>
      </w:r>
      <w:r>
        <w:t>-3</w:t>
      </w:r>
      <w:r w:rsidR="00F62763">
        <w:t>1</w:t>
      </w:r>
      <w:r>
        <w:t>-202</w:t>
      </w:r>
      <w:r w:rsidR="00F62763">
        <w:t>6</w:t>
      </w:r>
    </w:p>
    <w:tbl>
      <w:tblPr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1350"/>
        <w:gridCol w:w="1710"/>
        <w:gridCol w:w="2430"/>
      </w:tblGrid>
      <w:tr w:rsidR="00D06F12" w:rsidRPr="00902CF9" w14:paraId="7E639B47" w14:textId="77777777" w:rsidTr="00AA4731">
        <w:trPr>
          <w:trHeight w:val="2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D06F12" w:rsidRPr="00902CF9" w:rsidRDefault="00D06F12" w:rsidP="00D06F12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19D0A8F" w:rsidR="00D06F12" w:rsidRPr="00902CF9" w:rsidRDefault="00D06F12" w:rsidP="00D06F12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AA4731">
              <w:rPr>
                <w:rFonts w:cs="Arial"/>
                <w:b/>
                <w:bCs/>
                <w:spacing w:val="-3"/>
                <w:szCs w:val="20"/>
              </w:rPr>
              <w:t>Participants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F54882" w14:textId="2DBBCA47" w:rsidR="00D06F12" w:rsidRPr="00902CF9" w:rsidRDefault="00D06F12" w:rsidP="00D06F12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AA4731">
              <w:rPr>
                <w:rFonts w:cs="Arial"/>
                <w:b/>
                <w:bCs/>
                <w:spacing w:val="-3"/>
                <w:szCs w:val="20"/>
              </w:rPr>
              <w:t xml:space="preserve">Cost per </w:t>
            </w:r>
            <w:r w:rsidR="000051DB" w:rsidRPr="00AA4731">
              <w:rPr>
                <w:rFonts w:cs="Arial"/>
                <w:b/>
                <w:bCs/>
                <w:spacing w:val="-3"/>
                <w:szCs w:val="20"/>
              </w:rPr>
              <w:t>month (MAC)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3F3352F7" w:rsidR="00D06F12" w:rsidRPr="00902CF9" w:rsidRDefault="00D06F12" w:rsidP="00D06F12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AA4731">
              <w:rPr>
                <w:rFonts w:cs="Arial"/>
                <w:b/>
                <w:bCs/>
                <w:spacing w:val="-3"/>
                <w:szCs w:val="20"/>
              </w:rPr>
              <w:t>Cost per year</w:t>
            </w:r>
            <w:r w:rsidR="000051DB" w:rsidRPr="00AA4731">
              <w:rPr>
                <w:rFonts w:cs="Arial"/>
                <w:b/>
                <w:bCs/>
                <w:spacing w:val="-3"/>
                <w:szCs w:val="20"/>
              </w:rPr>
              <w:t xml:space="preserve"> (MAC)</w:t>
            </w:r>
          </w:p>
        </w:tc>
      </w:tr>
      <w:tr w:rsidR="00F87CCE" w:rsidRPr="00902CF9" w14:paraId="29C2C6B5" w14:textId="77777777" w:rsidTr="000051DB">
        <w:trPr>
          <w:trHeight w:val="2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17F" w14:textId="1B752D20" w:rsidR="00F87CCE" w:rsidRPr="00902CF9" w:rsidRDefault="001E55B7" w:rsidP="00F87CCE">
            <w:pPr>
              <w:rPr>
                <w:rFonts w:cs="Arial"/>
                <w:szCs w:val="20"/>
              </w:rPr>
            </w:pPr>
            <w:r w:rsidRPr="001E55B7">
              <w:rPr>
                <w:rFonts w:cs="Arial"/>
                <w:szCs w:val="20"/>
              </w:rPr>
              <w:t>KYGEVVI 4 GM (2GM-2GM) POWD PK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4F8" w14:textId="2D0AD543" w:rsidR="00F87CCE" w:rsidRPr="00AA4731" w:rsidRDefault="00F000B2" w:rsidP="000051DB">
            <w:pPr>
              <w:jc w:val="center"/>
              <w:rPr>
                <w:rFonts w:cs="Arial"/>
                <w:szCs w:val="20"/>
              </w:rPr>
            </w:pPr>
            <w:r w:rsidRPr="00AA4731">
              <w:rPr>
                <w:rFonts w:cs="Arial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425" w14:textId="14C0DE04" w:rsidR="00F87CCE" w:rsidRPr="00AA4731" w:rsidRDefault="00B44909" w:rsidP="000051DB">
            <w:pPr>
              <w:jc w:val="center"/>
              <w:rPr>
                <w:rFonts w:cs="Arial"/>
                <w:szCs w:val="20"/>
              </w:rPr>
            </w:pPr>
            <w:r w:rsidRPr="00AA4731">
              <w:rPr>
                <w:rFonts w:cs="Arial"/>
                <w:szCs w:val="20"/>
              </w:rPr>
              <w:t>$</w:t>
            </w:r>
            <w:r w:rsidR="000051DB" w:rsidRPr="00AA4731">
              <w:rPr>
                <w:rFonts w:cs="Arial"/>
                <w:szCs w:val="20"/>
              </w:rPr>
              <w:t>164,385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86B" w14:textId="5402989F" w:rsidR="00F87CCE" w:rsidRPr="00AA4731" w:rsidRDefault="000051DB" w:rsidP="000051DB">
            <w:pPr>
              <w:jc w:val="center"/>
              <w:rPr>
                <w:rFonts w:cs="Arial"/>
                <w:szCs w:val="20"/>
              </w:rPr>
            </w:pPr>
            <w:r w:rsidRPr="00AA4731">
              <w:rPr>
                <w:rFonts w:cs="Arial"/>
                <w:szCs w:val="20"/>
              </w:rPr>
              <w:t>$1,972,620</w:t>
            </w:r>
          </w:p>
        </w:tc>
      </w:tr>
    </w:tbl>
    <w:p w14:paraId="4691DC98" w14:textId="69C2E309" w:rsidR="003D4704" w:rsidRDefault="00466E70" w:rsidP="00466E70">
      <w:pPr>
        <w:pStyle w:val="ListParagraph"/>
        <w:numPr>
          <w:ilvl w:val="0"/>
          <w:numId w:val="17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Weight based dosing</w:t>
      </w:r>
      <w:r w:rsidR="00AA4731">
        <w:rPr>
          <w:rFonts w:cs="Arial"/>
          <w:sz w:val="18"/>
          <w:szCs w:val="18"/>
        </w:rPr>
        <w:t xml:space="preserve"> example</w:t>
      </w:r>
      <w:r>
        <w:rPr>
          <w:rFonts w:cs="Arial"/>
          <w:sz w:val="18"/>
          <w:szCs w:val="18"/>
        </w:rPr>
        <w:t xml:space="preserve"> for </w:t>
      </w:r>
      <w:r w:rsidR="000051DB">
        <w:rPr>
          <w:rFonts w:cs="Arial"/>
          <w:sz w:val="18"/>
          <w:szCs w:val="18"/>
        </w:rPr>
        <w:t xml:space="preserve">a </w:t>
      </w:r>
      <w:r>
        <w:rPr>
          <w:rFonts w:cs="Arial"/>
          <w:sz w:val="18"/>
          <w:szCs w:val="18"/>
        </w:rPr>
        <w:t>50 kg patient.</w:t>
      </w:r>
    </w:p>
    <w:p w14:paraId="54A2F79E" w14:textId="77777777" w:rsidR="007028ED" w:rsidRPr="00466E70" w:rsidRDefault="007028ED" w:rsidP="00BB1F59">
      <w:pPr>
        <w:pStyle w:val="ListParagraph"/>
        <w:numPr>
          <w:ilvl w:val="0"/>
          <w:numId w:val="0"/>
        </w:numPr>
        <w:ind w:left="720"/>
        <w:rPr>
          <w:rFonts w:cs="Arial"/>
          <w:sz w:val="18"/>
          <w:szCs w:val="18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082E2827" w:rsidR="0097028A" w:rsidRPr="00D92846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proofErr w:type="spellStart"/>
      <w:r w:rsidR="001E55B7" w:rsidRPr="00E75530">
        <w:rPr>
          <w:bCs/>
        </w:rPr>
        <w:t>Kygevvi</w:t>
      </w:r>
      <w:proofErr w:type="spellEnd"/>
      <w:r w:rsidR="00D92846" w:rsidRPr="00D92846">
        <w:rPr>
          <w:bCs/>
          <w:vertAlign w:val="superscript"/>
        </w:rPr>
        <w:t>®</w:t>
      </w:r>
      <w:r w:rsidR="00D92846">
        <w:rPr>
          <w:bCs/>
          <w:vertAlign w:val="superscript"/>
        </w:rPr>
        <w:t xml:space="preserve"> </w:t>
      </w:r>
      <w:r w:rsidR="00D92846">
        <w:rPr>
          <w:bCs/>
        </w:rPr>
        <w:t>(</w:t>
      </w:r>
      <w:proofErr w:type="spellStart"/>
      <w:r w:rsidR="007028ED">
        <w:rPr>
          <w:bCs/>
        </w:rPr>
        <w:t>d</w:t>
      </w:r>
      <w:r w:rsidR="00D92846">
        <w:rPr>
          <w:bCs/>
        </w:rPr>
        <w:t>execitine</w:t>
      </w:r>
      <w:proofErr w:type="spellEnd"/>
      <w:r w:rsidR="00D92846">
        <w:rPr>
          <w:bCs/>
        </w:rPr>
        <w:t>/</w:t>
      </w:r>
      <w:proofErr w:type="spellStart"/>
      <w:r w:rsidR="007028ED">
        <w:rPr>
          <w:bCs/>
        </w:rPr>
        <w:t>d</w:t>
      </w:r>
      <w:r w:rsidR="00D92846">
        <w:rPr>
          <w:bCs/>
        </w:rPr>
        <w:t>oxribtimine</w:t>
      </w:r>
      <w:proofErr w:type="spellEnd"/>
      <w:r w:rsidR="00D92846">
        <w:rPr>
          <w:bCs/>
        </w:rPr>
        <w:t>)</w:t>
      </w:r>
    </w:p>
    <w:p w14:paraId="26CFE8A0" w14:textId="21E74514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</w:t>
      </w:r>
      <w:r w:rsidR="00F76FE6">
        <w:rPr>
          <w:rFonts w:cs="Arial"/>
        </w:rPr>
        <w:t>s</w:t>
      </w:r>
      <w:r w:rsidR="00134216">
        <w:rPr>
          <w:rFonts w:cs="Arial"/>
        </w:rPr>
        <w:t>.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042E4971" w14:textId="77777777" w:rsidR="00F50132" w:rsidRDefault="00F50132" w:rsidP="00F50132">
      <w:pPr>
        <w:pStyle w:val="ListParagraph"/>
        <w:numPr>
          <w:ilvl w:val="0"/>
          <w:numId w:val="16"/>
        </w:numPr>
      </w:pPr>
      <w:r>
        <w:t xml:space="preserve">Must meet </w:t>
      </w:r>
      <w:proofErr w:type="gramStart"/>
      <w:r>
        <w:t>all of</w:t>
      </w:r>
      <w:proofErr w:type="gramEnd"/>
      <w:r>
        <w:t xml:space="preserve"> the following:</w:t>
      </w:r>
    </w:p>
    <w:p w14:paraId="50D6E94C" w14:textId="77777777" w:rsidR="00F50132" w:rsidRDefault="00F50132" w:rsidP="00F50132">
      <w:pPr>
        <w:pStyle w:val="ListParagraph"/>
        <w:numPr>
          <w:ilvl w:val="1"/>
          <w:numId w:val="16"/>
        </w:numPr>
        <w:ind w:left="720"/>
      </w:pPr>
      <w:r>
        <w:t>Prescribed by or in consultation with a neurologist, geneticist or other specialist in the treated disease state;</w:t>
      </w:r>
    </w:p>
    <w:p w14:paraId="384E0E3E" w14:textId="77777777" w:rsidR="00F50132" w:rsidRDefault="00F50132" w:rsidP="00F50132">
      <w:pPr>
        <w:pStyle w:val="ListParagraph"/>
        <w:numPr>
          <w:ilvl w:val="1"/>
          <w:numId w:val="16"/>
        </w:numPr>
        <w:ind w:left="720"/>
      </w:pPr>
      <w:r>
        <w:t xml:space="preserve">Documented diagnosis of thymidine kinase 2 deficiency with genetic confirmation of variant in </w:t>
      </w:r>
      <w:r w:rsidRPr="00BB1F59">
        <w:rPr>
          <w:i/>
          <w:iCs/>
        </w:rPr>
        <w:t>TK2</w:t>
      </w:r>
      <w:r>
        <w:t xml:space="preserve"> gene;</w:t>
      </w:r>
    </w:p>
    <w:p w14:paraId="0C89DA44" w14:textId="2153B535" w:rsidR="00F50132" w:rsidRDefault="00F50132" w:rsidP="00F50132">
      <w:pPr>
        <w:pStyle w:val="ListParagraph"/>
        <w:numPr>
          <w:ilvl w:val="1"/>
          <w:numId w:val="16"/>
        </w:numPr>
        <w:ind w:left="720"/>
      </w:pPr>
      <w:r>
        <w:t>Documentation of symptom onset on or prior to 12 years of age;</w:t>
      </w:r>
    </w:p>
    <w:p w14:paraId="68C00286" w14:textId="77777777" w:rsidR="00F50132" w:rsidRDefault="00F50132" w:rsidP="00F50132">
      <w:pPr>
        <w:pStyle w:val="ListParagraph"/>
        <w:numPr>
          <w:ilvl w:val="1"/>
          <w:numId w:val="16"/>
        </w:numPr>
        <w:ind w:left="720"/>
      </w:pPr>
      <w:r>
        <w:lastRenderedPageBreak/>
        <w:t xml:space="preserve">Documented completion of baseline liver assessments: AST, ALT, and total bilirubin; </w:t>
      </w:r>
      <w:r w:rsidRPr="00F50132">
        <w:rPr>
          <w:b/>
          <w:bCs/>
        </w:rPr>
        <w:t>AND</w:t>
      </w:r>
    </w:p>
    <w:p w14:paraId="2936A6C0" w14:textId="637F25B3" w:rsidR="00F50132" w:rsidRDefault="00F50132" w:rsidP="00F50132">
      <w:pPr>
        <w:pStyle w:val="ListParagraph"/>
        <w:numPr>
          <w:ilvl w:val="1"/>
          <w:numId w:val="16"/>
        </w:numPr>
        <w:ind w:left="720"/>
      </w:pPr>
      <w:r>
        <w:t>Must provide one of the followin</w:t>
      </w:r>
      <w:r w:rsidR="00A05BFB">
        <w:t>g</w:t>
      </w:r>
      <w:r>
        <w:t>:</w:t>
      </w:r>
    </w:p>
    <w:p w14:paraId="3D551B1A" w14:textId="77777777" w:rsidR="00F50132" w:rsidRDefault="00F50132" w:rsidP="00F50132">
      <w:pPr>
        <w:pStyle w:val="ListParagraph"/>
        <w:numPr>
          <w:ilvl w:val="2"/>
          <w:numId w:val="16"/>
        </w:numPr>
        <w:ind w:left="1080"/>
      </w:pPr>
      <w:r>
        <w:t>6-minute Walk Test (6MWT);</w:t>
      </w:r>
    </w:p>
    <w:p w14:paraId="4A2B6A8F" w14:textId="77777777" w:rsidR="00F50132" w:rsidRDefault="00F50132" w:rsidP="00F50132">
      <w:pPr>
        <w:pStyle w:val="ListParagraph"/>
        <w:numPr>
          <w:ilvl w:val="2"/>
          <w:numId w:val="16"/>
        </w:numPr>
        <w:ind w:left="1080"/>
      </w:pPr>
      <w:r>
        <w:t xml:space="preserve">Motor Function Measure (MFM 20 or 30); </w:t>
      </w:r>
      <w:r w:rsidRPr="00F50132">
        <w:rPr>
          <w:b/>
          <w:bCs/>
        </w:rPr>
        <w:t>OR</w:t>
      </w:r>
    </w:p>
    <w:p w14:paraId="6606A07F" w14:textId="515B6386" w:rsidR="00F50132" w:rsidRDefault="00F50132" w:rsidP="00F50132">
      <w:pPr>
        <w:pStyle w:val="ListParagraph"/>
        <w:numPr>
          <w:ilvl w:val="2"/>
          <w:numId w:val="16"/>
        </w:numPr>
        <w:ind w:left="1080"/>
      </w:pPr>
      <w:r>
        <w:t>Pulmonary function test</w:t>
      </w:r>
      <w:r w:rsidR="007A5A07">
        <w:t>.</w:t>
      </w:r>
    </w:p>
    <w:p w14:paraId="1B509DCA" w14:textId="7CD7B0E3" w:rsidR="00635DDB" w:rsidRPr="00F50132" w:rsidRDefault="00F50132" w:rsidP="00F50132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>
        <w:t>Initial approval for 6 months</w:t>
      </w:r>
      <w:r w:rsidR="007A5A07">
        <w:t>.</w:t>
      </w:r>
    </w:p>
    <w:p w14:paraId="47715631" w14:textId="77777777" w:rsidR="00F50132" w:rsidRPr="00F50132" w:rsidRDefault="00F50132" w:rsidP="00F50132">
      <w:pPr>
        <w:pStyle w:val="ListParagraph"/>
        <w:numPr>
          <w:ilvl w:val="0"/>
          <w:numId w:val="0"/>
        </w:numPr>
        <w:ind w:left="360"/>
        <w:rPr>
          <w:rFonts w:cs="Arial"/>
          <w:szCs w:val="20"/>
        </w:rPr>
      </w:pPr>
    </w:p>
    <w:p w14:paraId="7EC2017B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Continuation of Therapy:</w:t>
      </w:r>
    </w:p>
    <w:p w14:paraId="73BFC73D" w14:textId="77777777" w:rsidR="00635DDB" w:rsidRDefault="00635DDB" w:rsidP="00635DDB">
      <w:pPr>
        <w:pStyle w:val="ListParagraph"/>
      </w:pPr>
      <w:r w:rsidRPr="00C02553">
        <w:t xml:space="preserve">Must meet </w:t>
      </w:r>
      <w:proofErr w:type="gramStart"/>
      <w:r w:rsidRPr="00C02553">
        <w:t>all of</w:t>
      </w:r>
      <w:proofErr w:type="gramEnd"/>
      <w:r w:rsidRPr="00C02553">
        <w:t xml:space="preserve"> the following:</w:t>
      </w:r>
    </w:p>
    <w:p w14:paraId="27F3FDA7" w14:textId="64A1FB33" w:rsidR="00D364EC" w:rsidRDefault="00D364EC" w:rsidP="00D364EC">
      <w:pPr>
        <w:pStyle w:val="ListParagraph"/>
        <w:numPr>
          <w:ilvl w:val="1"/>
          <w:numId w:val="6"/>
        </w:numPr>
      </w:pPr>
      <w:r w:rsidRPr="00D364EC">
        <w:t xml:space="preserve">Documentation of clinical benefit (as evidenced by improvement or stabilization from baseline submitted test or ability to meet growth and developmental milestones); </w:t>
      </w:r>
      <w:r w:rsidRPr="00BB1F59">
        <w:rPr>
          <w:b/>
          <w:bCs/>
        </w:rPr>
        <w:t>AND</w:t>
      </w:r>
    </w:p>
    <w:p w14:paraId="4C832654" w14:textId="6FB1FB54" w:rsidR="00D364EC" w:rsidRDefault="00D364EC" w:rsidP="00D364EC">
      <w:pPr>
        <w:pStyle w:val="ListParagraph"/>
        <w:numPr>
          <w:ilvl w:val="1"/>
          <w:numId w:val="6"/>
        </w:numPr>
      </w:pPr>
      <w:r w:rsidRPr="00D364EC">
        <w:t xml:space="preserve">Transaminase elevations </w:t>
      </w:r>
      <w:r w:rsidR="00930DA2" w:rsidRPr="00D364EC">
        <w:t>are not</w:t>
      </w:r>
      <w:r w:rsidRPr="00D364EC">
        <w:t xml:space="preserve"> greater than 3 times the upper limit of </w:t>
      </w:r>
      <w:r w:rsidR="00326299" w:rsidRPr="00D364EC">
        <w:t>normal</w:t>
      </w:r>
      <w:r w:rsidRPr="00D364EC">
        <w:t xml:space="preserve"> (ULN)</w:t>
      </w:r>
      <w:r>
        <w:t>.</w:t>
      </w:r>
    </w:p>
    <w:p w14:paraId="1F4B5D3B" w14:textId="71E5880D" w:rsidR="00635DDB" w:rsidRDefault="00635DDB" w:rsidP="00635DDB">
      <w:pPr>
        <w:pStyle w:val="ListParagraph"/>
      </w:pPr>
      <w:r w:rsidRPr="00C02553">
        <w:t>Continuation approval period:</w:t>
      </w:r>
      <w:r>
        <w:t xml:space="preserve"> </w:t>
      </w:r>
      <w:r w:rsidR="00D364EC">
        <w:t>12 months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516D12" w:rsidRDefault="00904D7A" w:rsidP="00516D12">
      <w:pPr>
        <w:pStyle w:val="ListParagraph"/>
      </w:pPr>
      <w:r w:rsidRPr="00516D12">
        <w:t>Therapy will deny with presence of one of the following:</w:t>
      </w:r>
    </w:p>
    <w:p w14:paraId="52B7D2B5" w14:textId="77777777" w:rsidR="00415CEC" w:rsidRDefault="00904D7A" w:rsidP="00516D12">
      <w:pPr>
        <w:pStyle w:val="ListParagraph"/>
        <w:numPr>
          <w:ilvl w:val="1"/>
          <w:numId w:val="6"/>
        </w:numPr>
      </w:pPr>
      <w:r w:rsidRPr="005328B2">
        <w:t>Any approval criteria are not met;</w:t>
      </w:r>
      <w:r>
        <w:t xml:space="preserve"> </w:t>
      </w:r>
    </w:p>
    <w:p w14:paraId="0C4CC8E6" w14:textId="77777777" w:rsidR="00415CEC" w:rsidRPr="00415CEC" w:rsidRDefault="00415CEC" w:rsidP="00516D12">
      <w:pPr>
        <w:pStyle w:val="ListParagraph"/>
        <w:numPr>
          <w:ilvl w:val="1"/>
          <w:numId w:val="6"/>
        </w:numPr>
      </w:pPr>
      <w:r w:rsidRPr="00415CEC">
        <w:t>Participant is currently pregnant;</w:t>
      </w:r>
      <w:r>
        <w:rPr>
          <w:b/>
          <w:bCs/>
        </w:rPr>
        <w:t xml:space="preserve"> </w:t>
      </w:r>
    </w:p>
    <w:p w14:paraId="34DD01B8" w14:textId="58C6E1DD" w:rsidR="00904D7A" w:rsidRPr="005328B2" w:rsidRDefault="00327394" w:rsidP="00516D12">
      <w:pPr>
        <w:pStyle w:val="ListParagraph"/>
        <w:numPr>
          <w:ilvl w:val="1"/>
          <w:numId w:val="6"/>
        </w:numPr>
      </w:pPr>
      <w:r w:rsidRPr="00327394">
        <w:t>Participant has known cirrhosis;</w:t>
      </w:r>
      <w:r>
        <w:rPr>
          <w:b/>
          <w:bCs/>
        </w:rPr>
        <w:t xml:space="preserve"> </w:t>
      </w:r>
      <w:r w:rsidR="00904D7A" w:rsidRPr="005A4232">
        <w:rPr>
          <w:b/>
          <w:bCs/>
        </w:rPr>
        <w:t>OR</w:t>
      </w:r>
    </w:p>
    <w:p w14:paraId="1D97C1E5" w14:textId="77777777" w:rsidR="00904D7A" w:rsidRPr="005328B2" w:rsidRDefault="00904D7A" w:rsidP="00516D12">
      <w:pPr>
        <w:pStyle w:val="ListParagraph"/>
        <w:numPr>
          <w:ilvl w:val="1"/>
          <w:numId w:val="6"/>
        </w:numPr>
      </w:pPr>
      <w:r w:rsidRPr="005328B2">
        <w:t>Claim exceeds maximum dosing limitations: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417"/>
        <w:gridCol w:w="3418"/>
        <w:gridCol w:w="2515"/>
      </w:tblGrid>
      <w:tr w:rsidR="00904D7A" w:rsidRPr="00C02553" w14:paraId="1F6DE132" w14:textId="77777777" w:rsidTr="001F3A35">
        <w:trPr>
          <w:trHeight w:val="276"/>
        </w:trPr>
        <w:tc>
          <w:tcPr>
            <w:tcW w:w="3417" w:type="dxa"/>
            <w:shd w:val="clear" w:color="auto" w:fill="FABF8F"/>
          </w:tcPr>
          <w:p w14:paraId="61F61DB2" w14:textId="77777777" w:rsidR="00904D7A" w:rsidRPr="00C02553" w:rsidRDefault="00904D7A" w:rsidP="001F3A3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3418" w:type="dxa"/>
            <w:shd w:val="clear" w:color="auto" w:fill="FABF8F"/>
          </w:tcPr>
          <w:p w14:paraId="39DE15A6" w14:textId="77777777" w:rsidR="00904D7A" w:rsidRPr="00C02553" w:rsidRDefault="00904D7A" w:rsidP="001F3A3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515" w:type="dxa"/>
            <w:shd w:val="clear" w:color="auto" w:fill="FABF8F"/>
          </w:tcPr>
          <w:p w14:paraId="17F14EEF" w14:textId="77777777" w:rsidR="00904D7A" w:rsidRPr="00C02553" w:rsidRDefault="00904D7A" w:rsidP="001F3A3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Max Dosing Limitation</w:t>
            </w:r>
          </w:p>
        </w:tc>
      </w:tr>
      <w:tr w:rsidR="00904D7A" w:rsidRPr="00C02553" w14:paraId="05C5E883" w14:textId="77777777" w:rsidTr="001F3A35">
        <w:trPr>
          <w:trHeight w:val="276"/>
        </w:trPr>
        <w:tc>
          <w:tcPr>
            <w:tcW w:w="3417" w:type="dxa"/>
            <w:vAlign w:val="center"/>
          </w:tcPr>
          <w:p w14:paraId="556501BF" w14:textId="5DD4ED38" w:rsidR="00904D7A" w:rsidRPr="00F730BA" w:rsidRDefault="00525546" w:rsidP="001F3A35">
            <w:pPr>
              <w:rPr>
                <w:rFonts w:cs="Arial"/>
                <w:szCs w:val="20"/>
              </w:rPr>
            </w:pPr>
            <w:r w:rsidRPr="00525546">
              <w:rPr>
                <w:rFonts w:cs="Arial"/>
                <w:szCs w:val="20"/>
              </w:rPr>
              <w:t>KYGEVVI 4 GM (2GM-2GM) POWD PK</w:t>
            </w:r>
          </w:p>
        </w:tc>
        <w:tc>
          <w:tcPr>
            <w:tcW w:w="3418" w:type="dxa"/>
            <w:vAlign w:val="center"/>
          </w:tcPr>
          <w:p w14:paraId="1F00DA46" w14:textId="4E70FF56" w:rsidR="00904D7A" w:rsidRPr="00F730BA" w:rsidRDefault="00525546" w:rsidP="001F3A35">
            <w:pPr>
              <w:rPr>
                <w:rFonts w:cs="Arial"/>
                <w:caps/>
                <w:szCs w:val="20"/>
              </w:rPr>
            </w:pPr>
            <w:r w:rsidRPr="00525546">
              <w:rPr>
                <w:rFonts w:cs="Arial"/>
                <w:caps/>
                <w:szCs w:val="20"/>
              </w:rPr>
              <w:t>DOXECITINE/DOXRIBTIMINE</w:t>
            </w:r>
          </w:p>
        </w:tc>
        <w:tc>
          <w:tcPr>
            <w:tcW w:w="2515" w:type="dxa"/>
            <w:vAlign w:val="center"/>
          </w:tcPr>
          <w:p w14:paraId="7EC279C1" w14:textId="1BB1951A" w:rsidR="00904D7A" w:rsidRPr="00F730BA" w:rsidRDefault="00525546" w:rsidP="001F3A3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 packets/day</w:t>
            </w:r>
          </w:p>
        </w:tc>
      </w:tr>
    </w:tbl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3FA1E7DB" w14:textId="38505B40" w:rsidR="00777CA4" w:rsidRPr="008E04A1" w:rsidRDefault="00F76FE6" w:rsidP="00F76FE6">
      <w:pPr>
        <w:pStyle w:val="ListParagraph"/>
      </w:pPr>
      <w:proofErr w:type="spellStart"/>
      <w:r w:rsidRPr="008E04A1">
        <w:t>Kygevvi</w:t>
      </w:r>
      <w:proofErr w:type="spellEnd"/>
      <w:r w:rsidRPr="008E04A1">
        <w:rPr>
          <w:rFonts w:cs="Arial"/>
          <w:spacing w:val="-3"/>
          <w:vertAlign w:val="superscript"/>
        </w:rPr>
        <w:t xml:space="preserve">® </w:t>
      </w:r>
      <w:r w:rsidRPr="008E04A1">
        <w:rPr>
          <w:bCs/>
        </w:rPr>
        <w:t>(</w:t>
      </w:r>
      <w:proofErr w:type="spellStart"/>
      <w:r w:rsidR="0014665A">
        <w:rPr>
          <w:bCs/>
        </w:rPr>
        <w:t>d</w:t>
      </w:r>
      <w:r w:rsidRPr="008E04A1">
        <w:rPr>
          <w:bCs/>
        </w:rPr>
        <w:t>execitine</w:t>
      </w:r>
      <w:proofErr w:type="spellEnd"/>
      <w:r w:rsidRPr="008E04A1">
        <w:rPr>
          <w:bCs/>
        </w:rPr>
        <w:t>/</w:t>
      </w:r>
      <w:proofErr w:type="spellStart"/>
      <w:r w:rsidR="0014665A">
        <w:rPr>
          <w:bCs/>
        </w:rPr>
        <w:t>d</w:t>
      </w:r>
      <w:r w:rsidRPr="008E04A1">
        <w:rPr>
          <w:bCs/>
        </w:rPr>
        <w:t>oxribtimine</w:t>
      </w:r>
      <w:proofErr w:type="spellEnd"/>
      <w:r w:rsidRPr="008E04A1">
        <w:rPr>
          <w:bCs/>
        </w:rPr>
        <w:t>)</w:t>
      </w:r>
      <w:r w:rsidR="009C46DC" w:rsidRPr="008E04A1">
        <w:rPr>
          <w:bCs/>
        </w:rPr>
        <w:t xml:space="preserve"> [package insert]. </w:t>
      </w:r>
      <w:r w:rsidR="00E00619" w:rsidRPr="008E04A1">
        <w:rPr>
          <w:bCs/>
        </w:rPr>
        <w:t xml:space="preserve">Smyrna, GA: UCB, Inc.; </w:t>
      </w:r>
      <w:r w:rsidR="008E04A1" w:rsidRPr="008E04A1">
        <w:rPr>
          <w:bCs/>
        </w:rPr>
        <w:t>November 2025.</w:t>
      </w:r>
    </w:p>
    <w:p w14:paraId="3FD21FF4" w14:textId="60151373" w:rsidR="008E04A1" w:rsidRPr="00C53732" w:rsidRDefault="007A7DFA" w:rsidP="00F76FE6">
      <w:pPr>
        <w:pStyle w:val="ListParagraph"/>
      </w:pPr>
      <w:r w:rsidRPr="00627971">
        <w:rPr>
          <w:rStyle w:val="normaltextrun"/>
          <w:rFonts w:cs="Arial"/>
          <w:szCs w:val="20"/>
          <w:shd w:val="clear" w:color="auto" w:fill="FFFFFF"/>
        </w:rPr>
        <w:t>IPD Analytics.  Rx Insights New Drug Approval Review:</w:t>
      </w:r>
      <w:r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Pr="008E04A1">
        <w:t>Kygevvi</w:t>
      </w:r>
      <w:r>
        <w:t>.</w:t>
      </w:r>
      <w:r w:rsidRPr="007A7DFA">
        <w:rPr>
          <w:bCs/>
        </w:rPr>
        <w:t xml:space="preserve"> </w:t>
      </w:r>
      <w:r w:rsidRPr="008E04A1">
        <w:rPr>
          <w:bCs/>
        </w:rPr>
        <w:t>November 2025.</w:t>
      </w:r>
    </w:p>
    <w:p w14:paraId="03984F2A" w14:textId="2D77E67B" w:rsidR="00C53732" w:rsidRDefault="00C53732" w:rsidP="00F76FE6">
      <w:pPr>
        <w:pStyle w:val="ListParagraph"/>
      </w:pPr>
      <w:r w:rsidRPr="00C53732">
        <w:t>Domínguez-González C, Chiang C, Colson AO, Rebollo Mesa I, Baixauli E, Quan J, VanMeter S, Hirano M. Pyrimidine Nucleos(t)ide Therapy in Patients With Thymidine Kinase 2 Deficiency: A Multicenter Retrospective Chart Review Study. Neurology. 2025 Sep 23;105(6):e213908. </w:t>
      </w:r>
    </w:p>
    <w:p w14:paraId="7AB5F6C5" w14:textId="2EBFDB77" w:rsidR="001E5BB0" w:rsidRPr="008E04A1" w:rsidRDefault="001E5BB0" w:rsidP="00F76FE6">
      <w:pPr>
        <w:pStyle w:val="ListParagraph"/>
      </w:pPr>
      <w:r w:rsidRPr="001E5BB0">
        <w:t>Hernandez-Voth A, Sayas Catalan J, Corral Blanco M, Castaño Mendez A, Martin MA, De Fuenmayor Fernandez de la Hoz C, Villena Garrido V, Dominguez-Gonzalez C. Deoxynucleoside therapy for respiratory involvement in adult patients with thymidine kinase 2-deficient myopathy. BMJ Open Respir Res. 2020 Nov;7(1):e000774.</w:t>
      </w:r>
    </w:p>
    <w:sectPr w:rsidR="001E5BB0" w:rsidRPr="008E04A1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4B84" w14:textId="77777777" w:rsidR="00495913" w:rsidRPr="00C02553" w:rsidRDefault="00495913" w:rsidP="00AE77DB">
      <w:r w:rsidRPr="00C02553">
        <w:separator/>
      </w:r>
    </w:p>
  </w:endnote>
  <w:endnote w:type="continuationSeparator" w:id="0">
    <w:p w14:paraId="44EFE1E1" w14:textId="77777777" w:rsidR="00495913" w:rsidRPr="00C02553" w:rsidRDefault="00495913" w:rsidP="00AE77DB">
      <w:r w:rsidRPr="00C02553">
        <w:continuationSeparator/>
      </w:r>
    </w:p>
  </w:endnote>
  <w:endnote w:type="continuationNotice" w:id="1">
    <w:p w14:paraId="7B4DA95A" w14:textId="77777777" w:rsidR="00495913" w:rsidRPr="00C02553" w:rsidRDefault="00495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8FBD" w14:textId="77777777" w:rsidR="00495913" w:rsidRPr="00C02553" w:rsidRDefault="00495913" w:rsidP="00AE77DB">
      <w:r w:rsidRPr="00C02553">
        <w:separator/>
      </w:r>
    </w:p>
  </w:footnote>
  <w:footnote w:type="continuationSeparator" w:id="0">
    <w:p w14:paraId="72FAF47B" w14:textId="77777777" w:rsidR="00495913" w:rsidRPr="00C02553" w:rsidRDefault="00495913" w:rsidP="00AE77DB">
      <w:r w:rsidRPr="00C02553">
        <w:continuationSeparator/>
      </w:r>
    </w:p>
  </w:footnote>
  <w:footnote w:type="continuationNotice" w:id="1">
    <w:p w14:paraId="3A4EF273" w14:textId="77777777" w:rsidR="00495913" w:rsidRPr="00C02553" w:rsidRDefault="00495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1E1BD2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1E1BD2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1E1BD2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60291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D97E09"/>
    <w:multiLevelType w:val="hybridMultilevel"/>
    <w:tmpl w:val="65643D44"/>
    <w:lvl w:ilvl="0" w:tplc="BFD045FC">
      <w:start w:val="54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D3DBB"/>
    <w:multiLevelType w:val="hybridMultilevel"/>
    <w:tmpl w:val="D1BE0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3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0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5"/>
  </w:num>
  <w:num w:numId="14" w16cid:durableId="1805081292">
    <w:abstractNumId w:val="11"/>
  </w:num>
  <w:num w:numId="15" w16cid:durableId="1911186802">
    <w:abstractNumId w:val="6"/>
  </w:num>
  <w:num w:numId="16" w16cid:durableId="485821569">
    <w:abstractNumId w:val="14"/>
  </w:num>
  <w:num w:numId="17" w16cid:durableId="170697820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ocumentProtection w:edit="readOnly" w:formatting="1" w:enforcement="1" w:cryptProviderType="rsaAES" w:cryptAlgorithmClass="hash" w:cryptAlgorithmType="typeAny" w:cryptAlgorithmSid="14" w:cryptSpinCount="100000" w:hash="GYPDKMvnsF8vYOPEM7JKCmhsZJppR4NXEb0Up7I79mWjIwHB5hV1vjyTuE42DqlkFzrUs39yr+GYG/oNS3+UGw==" w:salt="qteH8TXUfA1psukmcXo52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51DB"/>
    <w:rsid w:val="00006A61"/>
    <w:rsid w:val="00017CBA"/>
    <w:rsid w:val="000276D9"/>
    <w:rsid w:val="000344C5"/>
    <w:rsid w:val="00040AD3"/>
    <w:rsid w:val="00051FD0"/>
    <w:rsid w:val="00053807"/>
    <w:rsid w:val="000572E5"/>
    <w:rsid w:val="00061541"/>
    <w:rsid w:val="00064009"/>
    <w:rsid w:val="00064162"/>
    <w:rsid w:val="00065C22"/>
    <w:rsid w:val="00074464"/>
    <w:rsid w:val="00076030"/>
    <w:rsid w:val="00077DC6"/>
    <w:rsid w:val="00080122"/>
    <w:rsid w:val="00082590"/>
    <w:rsid w:val="0009051F"/>
    <w:rsid w:val="000913C3"/>
    <w:rsid w:val="000953B9"/>
    <w:rsid w:val="000A2D17"/>
    <w:rsid w:val="000A413B"/>
    <w:rsid w:val="000A4B54"/>
    <w:rsid w:val="000A6279"/>
    <w:rsid w:val="000A6A8E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34216"/>
    <w:rsid w:val="00143A11"/>
    <w:rsid w:val="00144DBE"/>
    <w:rsid w:val="0014665A"/>
    <w:rsid w:val="00152C8B"/>
    <w:rsid w:val="0015636A"/>
    <w:rsid w:val="00160348"/>
    <w:rsid w:val="00172053"/>
    <w:rsid w:val="00174D4A"/>
    <w:rsid w:val="00177A80"/>
    <w:rsid w:val="001808B8"/>
    <w:rsid w:val="001A50CB"/>
    <w:rsid w:val="001A74B7"/>
    <w:rsid w:val="001B2D47"/>
    <w:rsid w:val="001B5F66"/>
    <w:rsid w:val="001C0250"/>
    <w:rsid w:val="001C094F"/>
    <w:rsid w:val="001C6DA4"/>
    <w:rsid w:val="001C73B1"/>
    <w:rsid w:val="001D1E7D"/>
    <w:rsid w:val="001D6567"/>
    <w:rsid w:val="001E1BD2"/>
    <w:rsid w:val="001E2CCB"/>
    <w:rsid w:val="001E4CBA"/>
    <w:rsid w:val="001E523C"/>
    <w:rsid w:val="001E55B7"/>
    <w:rsid w:val="001E5BB0"/>
    <w:rsid w:val="001E61DF"/>
    <w:rsid w:val="001F2B9F"/>
    <w:rsid w:val="001F3A35"/>
    <w:rsid w:val="001F5954"/>
    <w:rsid w:val="00202DD3"/>
    <w:rsid w:val="00206E7D"/>
    <w:rsid w:val="00217E14"/>
    <w:rsid w:val="00217EFD"/>
    <w:rsid w:val="00222134"/>
    <w:rsid w:val="0022233F"/>
    <w:rsid w:val="00226275"/>
    <w:rsid w:val="0023324D"/>
    <w:rsid w:val="00246564"/>
    <w:rsid w:val="00246A3B"/>
    <w:rsid w:val="00250FBF"/>
    <w:rsid w:val="002510AE"/>
    <w:rsid w:val="00255404"/>
    <w:rsid w:val="0025594F"/>
    <w:rsid w:val="002610DF"/>
    <w:rsid w:val="00270C5E"/>
    <w:rsid w:val="00276B5B"/>
    <w:rsid w:val="00281B0C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06AAC"/>
    <w:rsid w:val="003105A5"/>
    <w:rsid w:val="00313701"/>
    <w:rsid w:val="00314430"/>
    <w:rsid w:val="00316188"/>
    <w:rsid w:val="003171AF"/>
    <w:rsid w:val="00317469"/>
    <w:rsid w:val="0032215C"/>
    <w:rsid w:val="0032616B"/>
    <w:rsid w:val="00326299"/>
    <w:rsid w:val="00326687"/>
    <w:rsid w:val="00327394"/>
    <w:rsid w:val="003275F9"/>
    <w:rsid w:val="00330DD4"/>
    <w:rsid w:val="003345D2"/>
    <w:rsid w:val="003355AC"/>
    <w:rsid w:val="00343D6B"/>
    <w:rsid w:val="00346090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1CBC"/>
    <w:rsid w:val="003D4704"/>
    <w:rsid w:val="003D5EC8"/>
    <w:rsid w:val="003D641B"/>
    <w:rsid w:val="003E5719"/>
    <w:rsid w:val="003F227C"/>
    <w:rsid w:val="004023CC"/>
    <w:rsid w:val="00407564"/>
    <w:rsid w:val="00410710"/>
    <w:rsid w:val="00411152"/>
    <w:rsid w:val="004156AA"/>
    <w:rsid w:val="00415CEC"/>
    <w:rsid w:val="00416725"/>
    <w:rsid w:val="004253A1"/>
    <w:rsid w:val="004313B6"/>
    <w:rsid w:val="00433339"/>
    <w:rsid w:val="00436159"/>
    <w:rsid w:val="00446BBC"/>
    <w:rsid w:val="004471BA"/>
    <w:rsid w:val="004472C0"/>
    <w:rsid w:val="00450705"/>
    <w:rsid w:val="00451928"/>
    <w:rsid w:val="00460B5D"/>
    <w:rsid w:val="0046618B"/>
    <w:rsid w:val="00466E70"/>
    <w:rsid w:val="0048608C"/>
    <w:rsid w:val="00495913"/>
    <w:rsid w:val="00496E57"/>
    <w:rsid w:val="004B3E10"/>
    <w:rsid w:val="004C0F5D"/>
    <w:rsid w:val="004C1CEE"/>
    <w:rsid w:val="004C375A"/>
    <w:rsid w:val="004C4954"/>
    <w:rsid w:val="004C5767"/>
    <w:rsid w:val="004D0080"/>
    <w:rsid w:val="004D2945"/>
    <w:rsid w:val="004D5322"/>
    <w:rsid w:val="004D78B0"/>
    <w:rsid w:val="004E611F"/>
    <w:rsid w:val="004F2A79"/>
    <w:rsid w:val="004F4D37"/>
    <w:rsid w:val="00501A14"/>
    <w:rsid w:val="00501DE3"/>
    <w:rsid w:val="0050505D"/>
    <w:rsid w:val="00505488"/>
    <w:rsid w:val="005058CB"/>
    <w:rsid w:val="0051044D"/>
    <w:rsid w:val="005139E4"/>
    <w:rsid w:val="00515075"/>
    <w:rsid w:val="00516D12"/>
    <w:rsid w:val="00520FE9"/>
    <w:rsid w:val="005233E7"/>
    <w:rsid w:val="00525546"/>
    <w:rsid w:val="00526C8D"/>
    <w:rsid w:val="005328B2"/>
    <w:rsid w:val="00535BD5"/>
    <w:rsid w:val="00540977"/>
    <w:rsid w:val="00551668"/>
    <w:rsid w:val="005572D5"/>
    <w:rsid w:val="00566BE4"/>
    <w:rsid w:val="00570D21"/>
    <w:rsid w:val="00576113"/>
    <w:rsid w:val="00590652"/>
    <w:rsid w:val="0059235F"/>
    <w:rsid w:val="00596936"/>
    <w:rsid w:val="005A2F1E"/>
    <w:rsid w:val="005A4232"/>
    <w:rsid w:val="005C3616"/>
    <w:rsid w:val="005C48CF"/>
    <w:rsid w:val="005D1FC5"/>
    <w:rsid w:val="005D36B2"/>
    <w:rsid w:val="005D52E7"/>
    <w:rsid w:val="005D78B5"/>
    <w:rsid w:val="005E3572"/>
    <w:rsid w:val="005E45E4"/>
    <w:rsid w:val="005F0A81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64AAF"/>
    <w:rsid w:val="00670165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1693"/>
    <w:rsid w:val="006D2330"/>
    <w:rsid w:val="006E0F8B"/>
    <w:rsid w:val="006E12F7"/>
    <w:rsid w:val="006E29D7"/>
    <w:rsid w:val="006E4AA6"/>
    <w:rsid w:val="007028ED"/>
    <w:rsid w:val="007068A4"/>
    <w:rsid w:val="00706D67"/>
    <w:rsid w:val="00713052"/>
    <w:rsid w:val="00721367"/>
    <w:rsid w:val="007231FA"/>
    <w:rsid w:val="00732C67"/>
    <w:rsid w:val="00734418"/>
    <w:rsid w:val="00743B20"/>
    <w:rsid w:val="00757826"/>
    <w:rsid w:val="00762B13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87E88"/>
    <w:rsid w:val="00792DF0"/>
    <w:rsid w:val="0079438F"/>
    <w:rsid w:val="007A3034"/>
    <w:rsid w:val="007A527E"/>
    <w:rsid w:val="007A53E7"/>
    <w:rsid w:val="007A5A07"/>
    <w:rsid w:val="007A78F7"/>
    <w:rsid w:val="007A7DFA"/>
    <w:rsid w:val="007B3333"/>
    <w:rsid w:val="007B379F"/>
    <w:rsid w:val="007B37D6"/>
    <w:rsid w:val="007B5D30"/>
    <w:rsid w:val="007C1A09"/>
    <w:rsid w:val="007D2920"/>
    <w:rsid w:val="007D42DD"/>
    <w:rsid w:val="007E6A37"/>
    <w:rsid w:val="007F1774"/>
    <w:rsid w:val="007F593C"/>
    <w:rsid w:val="00811A70"/>
    <w:rsid w:val="0081406E"/>
    <w:rsid w:val="00832211"/>
    <w:rsid w:val="008325F4"/>
    <w:rsid w:val="00832AC8"/>
    <w:rsid w:val="00846FA4"/>
    <w:rsid w:val="008524BA"/>
    <w:rsid w:val="00852B74"/>
    <w:rsid w:val="0085487C"/>
    <w:rsid w:val="00856928"/>
    <w:rsid w:val="00857658"/>
    <w:rsid w:val="00865538"/>
    <w:rsid w:val="00870875"/>
    <w:rsid w:val="0088225C"/>
    <w:rsid w:val="00884026"/>
    <w:rsid w:val="00884C78"/>
    <w:rsid w:val="008859E1"/>
    <w:rsid w:val="00896264"/>
    <w:rsid w:val="008A2549"/>
    <w:rsid w:val="008A5D88"/>
    <w:rsid w:val="008B2851"/>
    <w:rsid w:val="008C000E"/>
    <w:rsid w:val="008D0F2F"/>
    <w:rsid w:val="008D237F"/>
    <w:rsid w:val="008D3FD8"/>
    <w:rsid w:val="008D6B05"/>
    <w:rsid w:val="008E04A1"/>
    <w:rsid w:val="008E7D2D"/>
    <w:rsid w:val="008F44C0"/>
    <w:rsid w:val="008F5999"/>
    <w:rsid w:val="00903AD6"/>
    <w:rsid w:val="00904D7A"/>
    <w:rsid w:val="00915332"/>
    <w:rsid w:val="009204BB"/>
    <w:rsid w:val="00930DA2"/>
    <w:rsid w:val="009350C9"/>
    <w:rsid w:val="00935918"/>
    <w:rsid w:val="00935EC3"/>
    <w:rsid w:val="00937BF4"/>
    <w:rsid w:val="00942AD9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77938"/>
    <w:rsid w:val="00984549"/>
    <w:rsid w:val="00985D28"/>
    <w:rsid w:val="00986396"/>
    <w:rsid w:val="00991BF0"/>
    <w:rsid w:val="00992EA3"/>
    <w:rsid w:val="009A0FB1"/>
    <w:rsid w:val="009A1FAC"/>
    <w:rsid w:val="009B001A"/>
    <w:rsid w:val="009B1A62"/>
    <w:rsid w:val="009C3CC7"/>
    <w:rsid w:val="009C46DC"/>
    <w:rsid w:val="009D2057"/>
    <w:rsid w:val="009D3D6C"/>
    <w:rsid w:val="009D5551"/>
    <w:rsid w:val="009D62DB"/>
    <w:rsid w:val="009E3B42"/>
    <w:rsid w:val="009F518A"/>
    <w:rsid w:val="00A02AF6"/>
    <w:rsid w:val="00A05B60"/>
    <w:rsid w:val="00A05BFB"/>
    <w:rsid w:val="00A1162F"/>
    <w:rsid w:val="00A13266"/>
    <w:rsid w:val="00A14FA6"/>
    <w:rsid w:val="00A15D64"/>
    <w:rsid w:val="00A17C8F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80896"/>
    <w:rsid w:val="00AA4731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1BA9"/>
    <w:rsid w:val="00AE27F9"/>
    <w:rsid w:val="00AE518D"/>
    <w:rsid w:val="00AE678F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42C2A"/>
    <w:rsid w:val="00B44909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919BB"/>
    <w:rsid w:val="00BA1C17"/>
    <w:rsid w:val="00BA1D65"/>
    <w:rsid w:val="00BB1F59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D64E8"/>
    <w:rsid w:val="00BD692B"/>
    <w:rsid w:val="00BE020D"/>
    <w:rsid w:val="00BE354A"/>
    <w:rsid w:val="00BE5DFC"/>
    <w:rsid w:val="00BE5E54"/>
    <w:rsid w:val="00BF300E"/>
    <w:rsid w:val="00BF5EEF"/>
    <w:rsid w:val="00C02553"/>
    <w:rsid w:val="00C04EB6"/>
    <w:rsid w:val="00C056F9"/>
    <w:rsid w:val="00C07A7B"/>
    <w:rsid w:val="00C1018C"/>
    <w:rsid w:val="00C1150E"/>
    <w:rsid w:val="00C14D52"/>
    <w:rsid w:val="00C2586C"/>
    <w:rsid w:val="00C26001"/>
    <w:rsid w:val="00C34E72"/>
    <w:rsid w:val="00C53732"/>
    <w:rsid w:val="00C56B1F"/>
    <w:rsid w:val="00C61B52"/>
    <w:rsid w:val="00C62745"/>
    <w:rsid w:val="00C654CA"/>
    <w:rsid w:val="00C763BD"/>
    <w:rsid w:val="00C779A8"/>
    <w:rsid w:val="00C82E19"/>
    <w:rsid w:val="00C96873"/>
    <w:rsid w:val="00C974C6"/>
    <w:rsid w:val="00CA1735"/>
    <w:rsid w:val="00CA207E"/>
    <w:rsid w:val="00CA3C4B"/>
    <w:rsid w:val="00CA7252"/>
    <w:rsid w:val="00CB2C5A"/>
    <w:rsid w:val="00CB592D"/>
    <w:rsid w:val="00CE0C1C"/>
    <w:rsid w:val="00CE34AF"/>
    <w:rsid w:val="00CE4A1B"/>
    <w:rsid w:val="00CF00A4"/>
    <w:rsid w:val="00CF25FB"/>
    <w:rsid w:val="00CF614C"/>
    <w:rsid w:val="00D02F34"/>
    <w:rsid w:val="00D06F12"/>
    <w:rsid w:val="00D13D87"/>
    <w:rsid w:val="00D16590"/>
    <w:rsid w:val="00D20720"/>
    <w:rsid w:val="00D218FE"/>
    <w:rsid w:val="00D232D9"/>
    <w:rsid w:val="00D250D9"/>
    <w:rsid w:val="00D27533"/>
    <w:rsid w:val="00D32BAE"/>
    <w:rsid w:val="00D364EC"/>
    <w:rsid w:val="00D37CFD"/>
    <w:rsid w:val="00D42DA3"/>
    <w:rsid w:val="00D43232"/>
    <w:rsid w:val="00D4546D"/>
    <w:rsid w:val="00D454BB"/>
    <w:rsid w:val="00D47996"/>
    <w:rsid w:val="00D61118"/>
    <w:rsid w:val="00D614F1"/>
    <w:rsid w:val="00D70D50"/>
    <w:rsid w:val="00D71917"/>
    <w:rsid w:val="00D84917"/>
    <w:rsid w:val="00D92846"/>
    <w:rsid w:val="00D95E68"/>
    <w:rsid w:val="00DA3A0F"/>
    <w:rsid w:val="00DA4E62"/>
    <w:rsid w:val="00DA6990"/>
    <w:rsid w:val="00DB27BA"/>
    <w:rsid w:val="00DB3009"/>
    <w:rsid w:val="00DB337A"/>
    <w:rsid w:val="00DB5D91"/>
    <w:rsid w:val="00DC034A"/>
    <w:rsid w:val="00DC51CB"/>
    <w:rsid w:val="00DD4819"/>
    <w:rsid w:val="00DD4B8A"/>
    <w:rsid w:val="00DD5403"/>
    <w:rsid w:val="00DE1388"/>
    <w:rsid w:val="00DE7501"/>
    <w:rsid w:val="00DF3146"/>
    <w:rsid w:val="00DF57C3"/>
    <w:rsid w:val="00E00619"/>
    <w:rsid w:val="00E008D9"/>
    <w:rsid w:val="00E02FE0"/>
    <w:rsid w:val="00E04382"/>
    <w:rsid w:val="00E05FD9"/>
    <w:rsid w:val="00E07ABE"/>
    <w:rsid w:val="00E11A3F"/>
    <w:rsid w:val="00E1386E"/>
    <w:rsid w:val="00E2369B"/>
    <w:rsid w:val="00E23EC0"/>
    <w:rsid w:val="00E26686"/>
    <w:rsid w:val="00E354AA"/>
    <w:rsid w:val="00E3682B"/>
    <w:rsid w:val="00E43D54"/>
    <w:rsid w:val="00E442FB"/>
    <w:rsid w:val="00E529DB"/>
    <w:rsid w:val="00E53A5E"/>
    <w:rsid w:val="00E56DBE"/>
    <w:rsid w:val="00E6466A"/>
    <w:rsid w:val="00E72221"/>
    <w:rsid w:val="00E75530"/>
    <w:rsid w:val="00E81B96"/>
    <w:rsid w:val="00E83428"/>
    <w:rsid w:val="00E84C58"/>
    <w:rsid w:val="00E873A5"/>
    <w:rsid w:val="00E90D11"/>
    <w:rsid w:val="00E915E5"/>
    <w:rsid w:val="00EB0367"/>
    <w:rsid w:val="00EB4FB9"/>
    <w:rsid w:val="00EB5BC8"/>
    <w:rsid w:val="00EB658F"/>
    <w:rsid w:val="00EC2738"/>
    <w:rsid w:val="00ED760F"/>
    <w:rsid w:val="00ED7B42"/>
    <w:rsid w:val="00EE3EA5"/>
    <w:rsid w:val="00EE613F"/>
    <w:rsid w:val="00EE6BD1"/>
    <w:rsid w:val="00EF0262"/>
    <w:rsid w:val="00EF0828"/>
    <w:rsid w:val="00EF6F8B"/>
    <w:rsid w:val="00F000B2"/>
    <w:rsid w:val="00F03898"/>
    <w:rsid w:val="00F1090E"/>
    <w:rsid w:val="00F1527A"/>
    <w:rsid w:val="00F2696B"/>
    <w:rsid w:val="00F27821"/>
    <w:rsid w:val="00F4092A"/>
    <w:rsid w:val="00F41F69"/>
    <w:rsid w:val="00F43E41"/>
    <w:rsid w:val="00F4790C"/>
    <w:rsid w:val="00F50132"/>
    <w:rsid w:val="00F50C4B"/>
    <w:rsid w:val="00F54C08"/>
    <w:rsid w:val="00F553A2"/>
    <w:rsid w:val="00F6068C"/>
    <w:rsid w:val="00F62763"/>
    <w:rsid w:val="00F62F33"/>
    <w:rsid w:val="00F634C1"/>
    <w:rsid w:val="00F63A52"/>
    <w:rsid w:val="00F730BA"/>
    <w:rsid w:val="00F76FE6"/>
    <w:rsid w:val="00F87CCE"/>
    <w:rsid w:val="00F903BE"/>
    <w:rsid w:val="00F95D04"/>
    <w:rsid w:val="00FA16EC"/>
    <w:rsid w:val="00FA2811"/>
    <w:rsid w:val="00FA4837"/>
    <w:rsid w:val="00FB1D33"/>
    <w:rsid w:val="00FB310F"/>
    <w:rsid w:val="00FB5E96"/>
    <w:rsid w:val="00FB6CF4"/>
    <w:rsid w:val="00FC05A0"/>
    <w:rsid w:val="00FC6758"/>
    <w:rsid w:val="00FD34EA"/>
    <w:rsid w:val="00FE3F3E"/>
    <w:rsid w:val="00FE4D52"/>
    <w:rsid w:val="00FE5171"/>
    <w:rsid w:val="00FE5AEE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79853AAB-007E-462E-A962-0349F20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1E55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5B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E55B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5B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C1A0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5A074-F71F-40ED-963C-E5F7818E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578</Words>
  <Characters>3378</Characters>
  <Application>Microsoft Office Word</Application>
  <DocSecurity>10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Kygevvi CE</vt:lpstr>
    </vt:vector>
  </TitlesOfParts>
  <Company>DSS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Kygevvi CE</dc:title>
  <dc:subject/>
  <dc:creator>DMS</dc:creator>
  <cp:keywords/>
  <cp:lastModifiedBy>Heriford, Katherine</cp:lastModifiedBy>
  <cp:revision>94</cp:revision>
  <cp:lastPrinted>2018-10-31T21:17:00Z</cp:lastPrinted>
  <dcterms:created xsi:type="dcterms:W3CDTF">2025-11-19T18:39:00Z</dcterms:created>
  <dcterms:modified xsi:type="dcterms:W3CDTF">2026-07-06T17:29:00Z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