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1460161" w:rsidR="004C5767" w:rsidRPr="008859E1" w:rsidRDefault="004C5767" w:rsidP="00D27533">
      <w:pPr>
        <w:pStyle w:val="tbody"/>
        <w:rPr>
          <w:b w:val="0"/>
          <w:bCs/>
        </w:rPr>
      </w:pPr>
      <w:r w:rsidRPr="00C02553">
        <w:t>Drug/Drug Class:</w:t>
      </w:r>
      <w:r w:rsidR="003B4820" w:rsidRPr="00573856">
        <w:rPr>
          <w:b w:val="0"/>
          <w:bCs/>
        </w:rPr>
        <w:t xml:space="preserve"> </w:t>
      </w:r>
      <w:r w:rsidR="00C63056" w:rsidRPr="00C63056">
        <w:rPr>
          <w:b w:val="0"/>
          <w:bCs/>
        </w:rPr>
        <w:t>Growth Hormone Somatropin Agents, Short-Acting PDL Edit</w:t>
      </w:r>
    </w:p>
    <w:p w14:paraId="7AD7FFCE" w14:textId="0BBC0E8C" w:rsidR="004C5767" w:rsidRPr="00C02553" w:rsidRDefault="004C5767" w:rsidP="00D27533">
      <w:pPr>
        <w:pStyle w:val="tbody"/>
      </w:pPr>
      <w:r w:rsidRPr="00C02553">
        <w:t>First Implementation Date:</w:t>
      </w:r>
      <w:r w:rsidRPr="00573856">
        <w:rPr>
          <w:b w:val="0"/>
          <w:bCs/>
        </w:rPr>
        <w:t xml:space="preserve"> </w:t>
      </w:r>
      <w:r w:rsidR="006977A6" w:rsidRPr="006977A6">
        <w:rPr>
          <w:b w:val="0"/>
          <w:bCs/>
        </w:rPr>
        <w:t>December 5, 2007</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37A5A33"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030D2F5" w14:textId="77777777" w:rsidR="00FF5BBF" w:rsidRDefault="00FF5BBF" w:rsidP="00FF5BBF">
      <w:r>
        <w:t>Growth hormone-releasing hormone (GHRH), or somatocrinin, is primarily secreted by the arcuate nucleus of the hypothalamus and acts on the pituitary to stimulate the release of human growth hormone (hGH). hGH is then secreted and acts by binding to the hGH receptor which initiates the production of insulin-like growth-factor 1 (IGF-1). Growth hormone (GH), or somatotropin, was first FDA-approved in 1985 for the treatment of growth hormone deficiency. Indications for the use of exogenously-produced GH and GHRH have expanded to include conditions that affect not only children, but also adolescents and adults.</w:t>
      </w:r>
    </w:p>
    <w:p w14:paraId="5C19C7A9" w14:textId="77777777" w:rsidR="00FF5BBF" w:rsidRDefault="00FF5BBF" w:rsidP="00FF5BBF">
      <w:r>
        <w:t xml:space="preserve"> </w:t>
      </w:r>
    </w:p>
    <w:p w14:paraId="05964CF2" w14:textId="640D833F" w:rsidR="007A3034" w:rsidRDefault="00FF5BBF" w:rsidP="00FF5BBF">
      <w:r>
        <w:t>Total program savings for the PDL classes will be regularly reviewed.</w:t>
      </w:r>
    </w:p>
    <w:p w14:paraId="4629F670" w14:textId="77777777" w:rsidR="00FF5BBF" w:rsidRPr="002C2C41" w:rsidRDefault="00FF5BBF" w:rsidP="00FF5BBF">
      <w:pPr>
        <w:rPr>
          <w:rFonts w:cs="Arial"/>
          <w:szCs w:val="20"/>
        </w:rPr>
      </w:pPr>
    </w:p>
    <w:p w14:paraId="6CBEE541" w14:textId="3A362043" w:rsidR="00E90D11" w:rsidRDefault="009A0FB1" w:rsidP="00696E3A">
      <w:pPr>
        <w:rPr>
          <w:b/>
          <w:bCs/>
        </w:rPr>
      </w:pPr>
      <w:r>
        <w:rPr>
          <w:b/>
          <w:bCs/>
        </w:rPr>
        <w:t>Preferred Agents:</w:t>
      </w:r>
    </w:p>
    <w:p w14:paraId="741EBD39" w14:textId="77777777" w:rsidR="00570512" w:rsidRPr="00570512" w:rsidRDefault="00570512" w:rsidP="00570512">
      <w:pPr>
        <w:numPr>
          <w:ilvl w:val="0"/>
          <w:numId w:val="15"/>
        </w:numPr>
        <w:rPr>
          <w:rFonts w:cs="Arial"/>
          <w:spacing w:val="-3"/>
          <w:szCs w:val="20"/>
        </w:rPr>
      </w:pPr>
      <w:r w:rsidRPr="00570512">
        <w:rPr>
          <w:rFonts w:cs="Arial"/>
          <w:spacing w:val="-3"/>
          <w:szCs w:val="20"/>
        </w:rPr>
        <w:t>Genotropin</w:t>
      </w:r>
      <w:r w:rsidRPr="00570512">
        <w:rPr>
          <w:rFonts w:ascii="Symbol" w:eastAsia="Symbol" w:hAnsi="Symbol" w:cs="Symbol"/>
          <w:spacing w:val="-3"/>
          <w:szCs w:val="20"/>
          <w:vertAlign w:val="superscript"/>
        </w:rPr>
        <w:t>â</w:t>
      </w:r>
      <w:r w:rsidRPr="00570512">
        <w:rPr>
          <w:rFonts w:cs="Arial"/>
          <w:spacing w:val="-3"/>
          <w:szCs w:val="20"/>
        </w:rPr>
        <w:t xml:space="preserve"> </w:t>
      </w:r>
    </w:p>
    <w:p w14:paraId="5A4E1EDB" w14:textId="3FFE7CAB" w:rsidR="00570512" w:rsidRPr="009208DC" w:rsidRDefault="00570512" w:rsidP="00570512">
      <w:pPr>
        <w:numPr>
          <w:ilvl w:val="0"/>
          <w:numId w:val="15"/>
        </w:numPr>
        <w:rPr>
          <w:rFonts w:cs="Arial"/>
          <w:spacing w:val="-3"/>
          <w:szCs w:val="20"/>
        </w:rPr>
      </w:pPr>
      <w:r w:rsidRPr="00570512">
        <w:rPr>
          <w:rFonts w:cs="Arial"/>
          <w:spacing w:val="-3"/>
          <w:szCs w:val="20"/>
        </w:rPr>
        <w:t>Genotropin MiniQuick</w:t>
      </w:r>
      <w:r w:rsidRPr="00570512">
        <w:rPr>
          <w:rFonts w:ascii="Symbol" w:eastAsia="Symbol" w:hAnsi="Symbol" w:cs="Symbol"/>
          <w:spacing w:val="-3"/>
          <w:szCs w:val="20"/>
          <w:vertAlign w:val="superscript"/>
        </w:rPr>
        <w:t>â</w:t>
      </w:r>
      <w:r w:rsidR="00222161" w:rsidRPr="009208DC">
        <w:rPr>
          <w:rFonts w:ascii="Symbol" w:eastAsia="Symbol" w:hAnsi="Symbol" w:cs="Symbol"/>
          <w:spacing w:val="-3"/>
          <w:szCs w:val="20"/>
          <w:vertAlign w:val="superscript"/>
        </w:rPr>
        <w:t xml:space="preserve"> </w:t>
      </w:r>
    </w:p>
    <w:p w14:paraId="06C5069F" w14:textId="2E37D65B" w:rsidR="00222161" w:rsidRPr="009208DC" w:rsidRDefault="00222161" w:rsidP="00570512">
      <w:pPr>
        <w:numPr>
          <w:ilvl w:val="0"/>
          <w:numId w:val="15"/>
        </w:numPr>
        <w:rPr>
          <w:rFonts w:cs="Arial"/>
          <w:spacing w:val="-3"/>
          <w:szCs w:val="20"/>
        </w:rPr>
      </w:pPr>
      <w:r w:rsidRPr="009208DC">
        <w:rPr>
          <w:rFonts w:cs="Arial"/>
          <w:spacing w:val="-3"/>
          <w:szCs w:val="20"/>
        </w:rPr>
        <w:t>Norditropin</w:t>
      </w:r>
      <w:r w:rsidR="005E1AFF" w:rsidRPr="009208DC">
        <w:rPr>
          <w:rFonts w:cs="Arial"/>
          <w:spacing w:val="-3"/>
          <w:szCs w:val="20"/>
        </w:rPr>
        <w:t xml:space="preserve"> </w:t>
      </w:r>
      <w:r w:rsidR="005E1AFF" w:rsidRPr="009208DC">
        <w:rPr>
          <w:rFonts w:cs="Arial"/>
          <w:spacing w:val="-3"/>
          <w:szCs w:val="20"/>
          <w:vertAlign w:val="superscript"/>
        </w:rPr>
        <w:t>®</w:t>
      </w:r>
      <w:r w:rsidRPr="009208DC">
        <w:rPr>
          <w:rFonts w:cs="Arial"/>
          <w:spacing w:val="-3"/>
          <w:szCs w:val="20"/>
        </w:rPr>
        <w:t xml:space="preserve"> FlexPro</w:t>
      </w:r>
      <w:r w:rsidR="005E1AFF" w:rsidRPr="009208DC">
        <w:rPr>
          <w:rFonts w:cs="Arial"/>
          <w:spacing w:val="-3"/>
          <w:szCs w:val="20"/>
          <w:vertAlign w:val="superscript"/>
        </w:rPr>
        <w:t>®</w:t>
      </w:r>
    </w:p>
    <w:p w14:paraId="7A74F160" w14:textId="77777777" w:rsidR="00570512" w:rsidRDefault="00570512" w:rsidP="00570512">
      <w:pPr>
        <w:rPr>
          <w:rFonts w:cs="Arial"/>
          <w:szCs w:val="20"/>
        </w:rPr>
      </w:pPr>
    </w:p>
    <w:p w14:paraId="56404718" w14:textId="252714AD" w:rsidR="00846FA4" w:rsidRDefault="00846FA4" w:rsidP="00846FA4">
      <w:pPr>
        <w:rPr>
          <w:b/>
          <w:bCs/>
        </w:rPr>
      </w:pPr>
      <w:r>
        <w:rPr>
          <w:b/>
          <w:bCs/>
        </w:rPr>
        <w:t>Non-Preferred Agents:</w:t>
      </w:r>
    </w:p>
    <w:p w14:paraId="448C4C1E" w14:textId="77777777" w:rsidR="00705B8D" w:rsidRPr="00705B8D" w:rsidRDefault="00705B8D" w:rsidP="00705B8D">
      <w:pPr>
        <w:numPr>
          <w:ilvl w:val="0"/>
          <w:numId w:val="16"/>
        </w:numPr>
        <w:rPr>
          <w:rFonts w:cs="Arial"/>
          <w:spacing w:val="-3"/>
          <w:szCs w:val="20"/>
        </w:rPr>
      </w:pPr>
      <w:r w:rsidRPr="00705B8D">
        <w:rPr>
          <w:rFonts w:cs="Arial"/>
          <w:spacing w:val="-3"/>
          <w:szCs w:val="20"/>
        </w:rPr>
        <w:t>Humatrope</w:t>
      </w:r>
      <w:r w:rsidRPr="00705B8D">
        <w:rPr>
          <w:rFonts w:ascii="Symbol" w:eastAsia="Symbol" w:hAnsi="Symbol" w:cs="Symbol"/>
          <w:spacing w:val="-3"/>
          <w:szCs w:val="20"/>
          <w:vertAlign w:val="superscript"/>
        </w:rPr>
        <w:t>â</w:t>
      </w:r>
      <w:r w:rsidRPr="00705B8D">
        <w:rPr>
          <w:rFonts w:cs="Arial"/>
          <w:spacing w:val="-3"/>
          <w:szCs w:val="20"/>
        </w:rPr>
        <w:t xml:space="preserve"> </w:t>
      </w:r>
    </w:p>
    <w:p w14:paraId="5550F1BD" w14:textId="77777777" w:rsidR="00705B8D" w:rsidRPr="00705B8D" w:rsidRDefault="00705B8D" w:rsidP="00705B8D">
      <w:pPr>
        <w:numPr>
          <w:ilvl w:val="0"/>
          <w:numId w:val="16"/>
        </w:numPr>
        <w:rPr>
          <w:rFonts w:cs="Arial"/>
          <w:bCs/>
          <w:spacing w:val="-3"/>
          <w:szCs w:val="20"/>
        </w:rPr>
      </w:pPr>
      <w:r w:rsidRPr="00705B8D">
        <w:rPr>
          <w:rFonts w:cs="Arial"/>
          <w:bCs/>
          <w:spacing w:val="-3"/>
          <w:szCs w:val="20"/>
        </w:rPr>
        <w:t>Nutropin AQ</w:t>
      </w:r>
      <w:r w:rsidRPr="00705B8D">
        <w:rPr>
          <w:rFonts w:ascii="Symbol" w:eastAsia="Symbol" w:hAnsi="Symbol" w:cs="Symbol"/>
          <w:bCs/>
          <w:spacing w:val="-3"/>
          <w:szCs w:val="20"/>
          <w:vertAlign w:val="superscript"/>
        </w:rPr>
        <w:t>â</w:t>
      </w:r>
      <w:r w:rsidRPr="00705B8D">
        <w:rPr>
          <w:rFonts w:cs="Arial"/>
          <w:bCs/>
          <w:spacing w:val="-3"/>
          <w:szCs w:val="20"/>
        </w:rPr>
        <w:t xml:space="preserve"> NuSpin</w:t>
      </w:r>
      <w:r w:rsidRPr="00705B8D">
        <w:rPr>
          <w:rFonts w:ascii="Symbol" w:eastAsia="Symbol" w:hAnsi="Symbol" w:cs="Symbol"/>
          <w:bCs/>
          <w:spacing w:val="-3"/>
          <w:szCs w:val="20"/>
          <w:vertAlign w:val="superscript"/>
        </w:rPr>
        <w:t>â</w:t>
      </w:r>
    </w:p>
    <w:p w14:paraId="1D56CD82" w14:textId="77777777" w:rsidR="00705B8D" w:rsidRPr="00705B8D" w:rsidRDefault="00705B8D" w:rsidP="00705B8D">
      <w:pPr>
        <w:numPr>
          <w:ilvl w:val="0"/>
          <w:numId w:val="16"/>
        </w:numPr>
        <w:rPr>
          <w:rFonts w:cs="Arial"/>
          <w:spacing w:val="-3"/>
          <w:szCs w:val="20"/>
        </w:rPr>
      </w:pPr>
      <w:r w:rsidRPr="00705B8D">
        <w:rPr>
          <w:rFonts w:cs="Arial"/>
          <w:spacing w:val="-3"/>
          <w:szCs w:val="20"/>
        </w:rPr>
        <w:t>Omnitrope</w:t>
      </w:r>
      <w:r w:rsidRPr="00705B8D">
        <w:rPr>
          <w:rFonts w:ascii="Symbol" w:eastAsia="Symbol" w:hAnsi="Symbol" w:cs="Symbol"/>
          <w:spacing w:val="-3"/>
          <w:szCs w:val="20"/>
          <w:vertAlign w:val="superscript"/>
        </w:rPr>
        <w:t>â</w:t>
      </w:r>
    </w:p>
    <w:p w14:paraId="2616B2A5" w14:textId="77777777" w:rsidR="00705B8D" w:rsidRPr="00705B8D" w:rsidRDefault="00705B8D" w:rsidP="00705B8D">
      <w:pPr>
        <w:numPr>
          <w:ilvl w:val="0"/>
          <w:numId w:val="16"/>
        </w:numPr>
        <w:rPr>
          <w:rFonts w:cs="Arial"/>
          <w:spacing w:val="-3"/>
          <w:szCs w:val="20"/>
        </w:rPr>
      </w:pPr>
      <w:r w:rsidRPr="00705B8D">
        <w:rPr>
          <w:rFonts w:cs="Arial"/>
          <w:spacing w:val="-3"/>
          <w:szCs w:val="20"/>
        </w:rPr>
        <w:t>Saizen</w:t>
      </w:r>
      <w:r w:rsidRPr="00705B8D">
        <w:rPr>
          <w:rFonts w:ascii="Symbol" w:eastAsia="Symbol" w:hAnsi="Symbol" w:cs="Symbol"/>
          <w:spacing w:val="-3"/>
          <w:szCs w:val="20"/>
          <w:vertAlign w:val="superscript"/>
        </w:rPr>
        <w:t>â</w:t>
      </w:r>
    </w:p>
    <w:p w14:paraId="4FD0232E" w14:textId="77777777" w:rsidR="00705B8D" w:rsidRPr="00705B8D" w:rsidRDefault="00705B8D" w:rsidP="00705B8D">
      <w:pPr>
        <w:numPr>
          <w:ilvl w:val="0"/>
          <w:numId w:val="16"/>
        </w:numPr>
        <w:rPr>
          <w:rFonts w:cs="Arial"/>
          <w:spacing w:val="-3"/>
          <w:szCs w:val="20"/>
        </w:rPr>
      </w:pPr>
      <w:r w:rsidRPr="00705B8D">
        <w:rPr>
          <w:rFonts w:cs="Arial"/>
          <w:spacing w:val="-3"/>
          <w:szCs w:val="20"/>
        </w:rPr>
        <w:t>Serostim</w:t>
      </w:r>
      <w:r w:rsidRPr="00705B8D">
        <w:rPr>
          <w:rFonts w:ascii="Symbol" w:eastAsia="Symbol" w:hAnsi="Symbol" w:cs="Symbol"/>
          <w:spacing w:val="-3"/>
          <w:szCs w:val="20"/>
          <w:vertAlign w:val="superscript"/>
        </w:rPr>
        <w:t>â</w:t>
      </w:r>
    </w:p>
    <w:p w14:paraId="6D696800" w14:textId="7EE2813C" w:rsidR="00E23EC0" w:rsidRPr="00705B8D" w:rsidRDefault="00705B8D" w:rsidP="00705B8D">
      <w:pPr>
        <w:pStyle w:val="ListParagraph"/>
        <w:numPr>
          <w:ilvl w:val="0"/>
          <w:numId w:val="16"/>
        </w:numPr>
        <w:rPr>
          <w:rFonts w:cs="Arial"/>
          <w:spacing w:val="-3"/>
          <w:szCs w:val="20"/>
        </w:rPr>
      </w:pPr>
      <w:r w:rsidRPr="00705B8D">
        <w:rPr>
          <w:rFonts w:cs="Arial"/>
          <w:spacing w:val="-3"/>
          <w:szCs w:val="20"/>
        </w:rPr>
        <w:t>Zomacton</w:t>
      </w:r>
      <w:r w:rsidRPr="00705B8D">
        <w:rPr>
          <w:rFonts w:ascii="Symbol" w:eastAsia="Symbol" w:hAnsi="Symbol" w:cs="Symbol"/>
          <w:spacing w:val="-3"/>
          <w:szCs w:val="20"/>
          <w:vertAlign w:val="superscript"/>
        </w:rPr>
        <w:t>â</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74363FD" w:rsidR="0097028A" w:rsidRPr="0079438F" w:rsidRDefault="0097028A" w:rsidP="00696E3A">
      <w:pPr>
        <w:rPr>
          <w:b/>
        </w:rPr>
      </w:pPr>
      <w:r w:rsidRPr="00696E3A">
        <w:rPr>
          <w:b/>
          <w:bCs/>
        </w:rPr>
        <w:t>Drug class for review:</w:t>
      </w:r>
      <w:r w:rsidRPr="00C02553">
        <w:t xml:space="preserve"> </w:t>
      </w:r>
      <w:r w:rsidR="00A944C5" w:rsidRPr="00A944C5">
        <w:t>Growth Hormones, Somatropin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B12259E" w14:textId="77777777" w:rsidR="00D216D8" w:rsidRPr="00D216D8" w:rsidRDefault="00D216D8" w:rsidP="00D216D8">
      <w:pPr>
        <w:rPr>
          <w:rFonts w:cs="Arial"/>
          <w:bCs/>
          <w:szCs w:val="20"/>
          <w:u w:val="single"/>
        </w:rPr>
      </w:pPr>
      <w:r w:rsidRPr="00D216D8">
        <w:rPr>
          <w:rFonts w:cs="Arial"/>
          <w:bCs/>
          <w:szCs w:val="20"/>
          <w:u w:val="single"/>
        </w:rPr>
        <w:t xml:space="preserve">Initial Therapy: </w:t>
      </w:r>
    </w:p>
    <w:p w14:paraId="5239D639" w14:textId="77777777" w:rsidR="00D216D8" w:rsidRPr="00D216D8" w:rsidRDefault="00D216D8" w:rsidP="00D216D8">
      <w:pPr>
        <w:numPr>
          <w:ilvl w:val="0"/>
          <w:numId w:val="17"/>
        </w:numPr>
        <w:contextualSpacing/>
        <w:rPr>
          <w:rFonts w:cs="Arial"/>
          <w:bCs/>
          <w:szCs w:val="20"/>
        </w:rPr>
      </w:pPr>
      <w:r w:rsidRPr="00D216D8">
        <w:rPr>
          <w:rFonts w:cs="Arial"/>
          <w:bCs/>
          <w:szCs w:val="20"/>
        </w:rPr>
        <w:t>Must meet one of the following:</w:t>
      </w:r>
    </w:p>
    <w:p w14:paraId="0FDC1F8B" w14:textId="77777777" w:rsidR="00D216D8" w:rsidRPr="00D216D8" w:rsidRDefault="00D216D8" w:rsidP="00D216D8">
      <w:pPr>
        <w:numPr>
          <w:ilvl w:val="1"/>
          <w:numId w:val="17"/>
        </w:numPr>
        <w:contextualSpacing/>
        <w:rPr>
          <w:rFonts w:cs="Arial"/>
          <w:bCs/>
          <w:szCs w:val="20"/>
        </w:rPr>
      </w:pPr>
      <w:r w:rsidRPr="00D216D8">
        <w:rPr>
          <w:rFonts w:cs="Arial"/>
          <w:bCs/>
          <w:szCs w:val="20"/>
        </w:rPr>
        <w:t xml:space="preserve">Participant aged &lt; 18 years and claim is for a preferred agent; </w:t>
      </w:r>
      <w:r w:rsidRPr="0074235B">
        <w:rPr>
          <w:rFonts w:cs="Arial"/>
          <w:b/>
          <w:szCs w:val="20"/>
        </w:rPr>
        <w:t>OR</w:t>
      </w:r>
    </w:p>
    <w:p w14:paraId="0AB2CFB2" w14:textId="77777777" w:rsidR="00D216D8" w:rsidRPr="00D216D8" w:rsidRDefault="00D216D8" w:rsidP="00D216D8">
      <w:pPr>
        <w:numPr>
          <w:ilvl w:val="1"/>
          <w:numId w:val="17"/>
        </w:numPr>
        <w:contextualSpacing/>
        <w:rPr>
          <w:rFonts w:cs="Arial"/>
          <w:bCs/>
          <w:szCs w:val="20"/>
        </w:rPr>
      </w:pPr>
      <w:r w:rsidRPr="00D216D8">
        <w:rPr>
          <w:rFonts w:cs="Arial"/>
          <w:bCs/>
          <w:szCs w:val="20"/>
        </w:rPr>
        <w:t xml:space="preserve">Must meet </w:t>
      </w:r>
      <w:proofErr w:type="gramStart"/>
      <w:r w:rsidRPr="00D216D8">
        <w:rPr>
          <w:rFonts w:cs="Arial"/>
          <w:bCs/>
          <w:szCs w:val="20"/>
        </w:rPr>
        <w:t>all of</w:t>
      </w:r>
      <w:proofErr w:type="gramEnd"/>
      <w:r w:rsidRPr="00D216D8">
        <w:rPr>
          <w:rFonts w:cs="Arial"/>
          <w:bCs/>
          <w:szCs w:val="20"/>
        </w:rPr>
        <w:t xml:space="preserve"> the following:</w:t>
      </w:r>
    </w:p>
    <w:p w14:paraId="08D69BFC" w14:textId="77777777" w:rsidR="00D216D8" w:rsidRPr="00D216D8" w:rsidRDefault="00D216D8" w:rsidP="00D216D8">
      <w:pPr>
        <w:numPr>
          <w:ilvl w:val="2"/>
          <w:numId w:val="17"/>
        </w:numPr>
        <w:contextualSpacing/>
        <w:rPr>
          <w:rFonts w:cs="Arial"/>
          <w:bCs/>
          <w:szCs w:val="20"/>
        </w:rPr>
      </w:pPr>
      <w:r w:rsidRPr="00D216D8">
        <w:rPr>
          <w:rFonts w:cs="Arial"/>
          <w:bCs/>
          <w:szCs w:val="20"/>
        </w:rPr>
        <w:lastRenderedPageBreak/>
        <w:t>Prescribed by or in consultation with an infectious disease specialist, endocrinologist, nephrologist, or other appropriate specialist for the disease state;</w:t>
      </w:r>
    </w:p>
    <w:p w14:paraId="2C2ACE7E" w14:textId="77777777" w:rsidR="00D216D8" w:rsidRPr="00D216D8" w:rsidRDefault="00D216D8" w:rsidP="00D216D8">
      <w:pPr>
        <w:numPr>
          <w:ilvl w:val="2"/>
          <w:numId w:val="17"/>
        </w:numPr>
        <w:contextualSpacing/>
        <w:rPr>
          <w:rFonts w:cs="Arial"/>
          <w:bCs/>
          <w:szCs w:val="20"/>
        </w:rPr>
      </w:pPr>
      <w:r w:rsidRPr="00D216D8">
        <w:rPr>
          <w:rFonts w:cs="Arial"/>
          <w:bCs/>
          <w:szCs w:val="20"/>
        </w:rPr>
        <w:t>Must meet one of the following:</w:t>
      </w:r>
    </w:p>
    <w:p w14:paraId="0140773E" w14:textId="77777777" w:rsidR="00D216D8" w:rsidRPr="00D216D8" w:rsidRDefault="00D216D8" w:rsidP="00D216D8">
      <w:pPr>
        <w:numPr>
          <w:ilvl w:val="3"/>
          <w:numId w:val="17"/>
        </w:numPr>
        <w:contextualSpacing/>
        <w:rPr>
          <w:rFonts w:cs="Arial"/>
          <w:bCs/>
          <w:szCs w:val="20"/>
        </w:rPr>
      </w:pPr>
      <w:r w:rsidRPr="00D216D8">
        <w:rPr>
          <w:rFonts w:cs="Arial"/>
          <w:bCs/>
          <w:szCs w:val="20"/>
        </w:rPr>
        <w:t xml:space="preserve">Claim is for a preferred agent; </w:t>
      </w:r>
      <w:r w:rsidRPr="00D216D8">
        <w:rPr>
          <w:rFonts w:cs="Arial"/>
          <w:b/>
          <w:szCs w:val="20"/>
        </w:rPr>
        <w:t>OR</w:t>
      </w:r>
    </w:p>
    <w:p w14:paraId="212B333B" w14:textId="72C0CA2F" w:rsidR="00D216D8" w:rsidRPr="00D216D8" w:rsidRDefault="00D216D8" w:rsidP="00D216D8">
      <w:pPr>
        <w:numPr>
          <w:ilvl w:val="3"/>
          <w:numId w:val="17"/>
        </w:numPr>
        <w:contextualSpacing/>
        <w:rPr>
          <w:rFonts w:cs="Arial"/>
          <w:bCs/>
          <w:szCs w:val="20"/>
        </w:rPr>
      </w:pPr>
      <w:r w:rsidRPr="00D216D8">
        <w:rPr>
          <w:rFonts w:cs="Arial"/>
          <w:szCs w:val="20"/>
        </w:rPr>
        <w:t xml:space="preserve">Failure to achieve desired therapeutic outcomes with </w:t>
      </w:r>
      <w:r w:rsidRPr="00D216D8">
        <w:rPr>
          <w:rFonts w:cs="Arial"/>
          <w:noProof/>
          <w:szCs w:val="20"/>
        </w:rPr>
        <w:t>trial</w:t>
      </w:r>
      <w:r w:rsidRPr="00D216D8">
        <w:rPr>
          <w:rFonts w:cs="Arial"/>
          <w:szCs w:val="20"/>
        </w:rPr>
        <w:t xml:space="preserve"> on 1 preferred short-acting and 1 preferred long-acting somatropin agent;</w:t>
      </w:r>
    </w:p>
    <w:p w14:paraId="115930A2" w14:textId="77777777" w:rsidR="00D216D8" w:rsidRPr="00D216D8" w:rsidRDefault="00D216D8" w:rsidP="00D216D8">
      <w:pPr>
        <w:numPr>
          <w:ilvl w:val="4"/>
          <w:numId w:val="17"/>
        </w:numPr>
        <w:contextualSpacing/>
        <w:rPr>
          <w:rFonts w:cs="Arial"/>
          <w:bCs/>
          <w:szCs w:val="20"/>
        </w:rPr>
      </w:pPr>
      <w:r w:rsidRPr="00D216D8">
        <w:rPr>
          <w:rFonts w:cs="Arial"/>
          <w:noProof/>
          <w:szCs w:val="20"/>
        </w:rPr>
        <w:t>Documented</w:t>
      </w:r>
      <w:r w:rsidRPr="00D216D8">
        <w:rPr>
          <w:rFonts w:cs="Arial"/>
          <w:szCs w:val="20"/>
        </w:rPr>
        <w:t xml:space="preserve"> trial period for preferred agents; </w:t>
      </w:r>
      <w:r w:rsidRPr="00D216D8">
        <w:rPr>
          <w:rFonts w:cs="Arial"/>
          <w:b/>
          <w:bCs/>
          <w:szCs w:val="20"/>
        </w:rPr>
        <w:t>OR</w:t>
      </w:r>
      <w:r w:rsidRPr="00D216D8">
        <w:rPr>
          <w:rFonts w:cs="Arial"/>
          <w:szCs w:val="20"/>
        </w:rPr>
        <w:t xml:space="preserve"> </w:t>
      </w:r>
    </w:p>
    <w:p w14:paraId="25AB7FCC" w14:textId="77777777" w:rsidR="00D216D8" w:rsidRPr="00D216D8" w:rsidRDefault="00D216D8" w:rsidP="00D216D8">
      <w:pPr>
        <w:numPr>
          <w:ilvl w:val="4"/>
          <w:numId w:val="17"/>
        </w:numPr>
        <w:contextualSpacing/>
        <w:rPr>
          <w:rFonts w:cs="Arial"/>
          <w:bCs/>
          <w:szCs w:val="20"/>
        </w:rPr>
      </w:pPr>
      <w:r w:rsidRPr="00D216D8">
        <w:rPr>
          <w:rFonts w:cs="Arial"/>
          <w:szCs w:val="20"/>
        </w:rPr>
        <w:t xml:space="preserve">Documented ADE/ADR to preferred agents; </w:t>
      </w:r>
      <w:r w:rsidRPr="00D216D8">
        <w:rPr>
          <w:rFonts w:cs="Arial"/>
          <w:b/>
          <w:bCs/>
          <w:szCs w:val="20"/>
        </w:rPr>
        <w:t>AND</w:t>
      </w:r>
    </w:p>
    <w:p w14:paraId="3F527523" w14:textId="77777777" w:rsidR="00D216D8" w:rsidRPr="00D216D8" w:rsidRDefault="00D216D8" w:rsidP="00D216D8">
      <w:pPr>
        <w:numPr>
          <w:ilvl w:val="2"/>
          <w:numId w:val="17"/>
        </w:numPr>
        <w:contextualSpacing/>
        <w:rPr>
          <w:rFonts w:cs="Arial"/>
          <w:bCs/>
          <w:szCs w:val="20"/>
        </w:rPr>
      </w:pPr>
      <w:r w:rsidRPr="00D216D8">
        <w:rPr>
          <w:rFonts w:cs="Arial"/>
          <w:szCs w:val="20"/>
        </w:rPr>
        <w:t>Must meet one of the following:</w:t>
      </w:r>
    </w:p>
    <w:p w14:paraId="59648E80" w14:textId="77777777" w:rsidR="00D216D8" w:rsidRPr="00D216D8" w:rsidRDefault="00D216D8" w:rsidP="00D216D8">
      <w:pPr>
        <w:numPr>
          <w:ilvl w:val="0"/>
          <w:numId w:val="17"/>
        </w:numPr>
        <w:ind w:left="1440"/>
        <w:contextualSpacing/>
        <w:rPr>
          <w:rFonts w:cs="Arial"/>
          <w:bCs/>
          <w:szCs w:val="20"/>
        </w:rPr>
      </w:pPr>
      <w:r w:rsidRPr="00D216D8">
        <w:rPr>
          <w:rFonts w:cs="Arial"/>
          <w:szCs w:val="20"/>
        </w:rPr>
        <w:t>For participants 18 years of age or older:</w:t>
      </w:r>
    </w:p>
    <w:p w14:paraId="01BBB14D" w14:textId="77777777" w:rsidR="00D216D8" w:rsidRPr="00D216D8" w:rsidRDefault="00D216D8" w:rsidP="00D216D8">
      <w:pPr>
        <w:numPr>
          <w:ilvl w:val="1"/>
          <w:numId w:val="17"/>
        </w:numPr>
        <w:ind w:left="1800"/>
        <w:rPr>
          <w:rFonts w:cs="Arial"/>
          <w:szCs w:val="20"/>
        </w:rPr>
      </w:pPr>
      <w:r w:rsidRPr="00D216D8">
        <w:rPr>
          <w:rFonts w:cs="Arial"/>
          <w:szCs w:val="20"/>
        </w:rPr>
        <w:t xml:space="preserve">Documented diagnosis of one of the following: </w:t>
      </w:r>
    </w:p>
    <w:p w14:paraId="188D8090" w14:textId="77777777" w:rsidR="00D216D8" w:rsidRPr="00D216D8" w:rsidRDefault="00D216D8" w:rsidP="00D216D8">
      <w:pPr>
        <w:numPr>
          <w:ilvl w:val="2"/>
          <w:numId w:val="17"/>
        </w:numPr>
        <w:ind w:left="2160"/>
        <w:rPr>
          <w:rFonts w:cs="Arial"/>
          <w:szCs w:val="20"/>
        </w:rPr>
      </w:pPr>
      <w:r w:rsidRPr="00D216D8">
        <w:rPr>
          <w:rFonts w:cs="Arial"/>
          <w:szCs w:val="20"/>
        </w:rPr>
        <w:t>Growth hormone deficiency – must meet one of the following:</w:t>
      </w:r>
    </w:p>
    <w:p w14:paraId="0789C087" w14:textId="77777777" w:rsidR="00D216D8" w:rsidRPr="00D216D8" w:rsidRDefault="00D216D8" w:rsidP="0074235B">
      <w:pPr>
        <w:numPr>
          <w:ilvl w:val="6"/>
          <w:numId w:val="17"/>
        </w:numPr>
        <w:ind w:left="2520"/>
        <w:rPr>
          <w:rFonts w:cs="Arial"/>
          <w:b/>
          <w:bCs/>
          <w:szCs w:val="20"/>
        </w:rPr>
      </w:pPr>
      <w:r w:rsidRPr="00D216D8">
        <w:rPr>
          <w:rFonts w:cs="Arial"/>
          <w:szCs w:val="20"/>
        </w:rPr>
        <w:t>Failure of 2 GH stimulation tests (e.g., insulin, glucagon, arginine, or macimorelin)</w:t>
      </w:r>
      <w:r w:rsidRPr="00D216D8">
        <w:rPr>
          <w:rFonts w:cs="Arial"/>
          <w:b/>
          <w:bCs/>
          <w:szCs w:val="20"/>
        </w:rPr>
        <w:t>; OR</w:t>
      </w:r>
    </w:p>
    <w:p w14:paraId="4AABA59A" w14:textId="77777777" w:rsidR="00D216D8" w:rsidRPr="00D216D8" w:rsidRDefault="00D216D8" w:rsidP="0074235B">
      <w:pPr>
        <w:numPr>
          <w:ilvl w:val="6"/>
          <w:numId w:val="17"/>
        </w:numPr>
        <w:ind w:left="2520"/>
        <w:rPr>
          <w:rFonts w:cs="Arial"/>
          <w:b/>
          <w:bCs/>
          <w:szCs w:val="20"/>
        </w:rPr>
      </w:pPr>
      <w:r w:rsidRPr="00D216D8">
        <w:rPr>
          <w:rFonts w:cs="Arial"/>
          <w:szCs w:val="20"/>
        </w:rPr>
        <w:t>Low serum insulin-like growth factor I (IGF-I) defined as below -1 SDS</w:t>
      </w:r>
      <w:r w:rsidRPr="00D216D8">
        <w:rPr>
          <w:rFonts w:cs="Arial"/>
          <w:b/>
          <w:bCs/>
          <w:szCs w:val="20"/>
        </w:rPr>
        <w:t xml:space="preserve"> </w:t>
      </w:r>
      <w:r w:rsidRPr="00D216D8">
        <w:rPr>
          <w:rFonts w:cs="Arial"/>
          <w:szCs w:val="20"/>
        </w:rPr>
        <w:t xml:space="preserve">AND failure of 1 GH stimulation test (e.g., insulin, glucagon, arginine, or macimorelin); </w:t>
      </w:r>
    </w:p>
    <w:p w14:paraId="35FCE561" w14:textId="77777777" w:rsidR="00D216D8" w:rsidRPr="00D216D8" w:rsidRDefault="00D216D8" w:rsidP="00D216D8">
      <w:pPr>
        <w:numPr>
          <w:ilvl w:val="2"/>
          <w:numId w:val="17"/>
        </w:numPr>
        <w:ind w:left="2160"/>
        <w:rPr>
          <w:rFonts w:cs="Arial"/>
          <w:szCs w:val="20"/>
        </w:rPr>
      </w:pPr>
      <w:r w:rsidRPr="00D216D8">
        <w:rPr>
          <w:rFonts w:cs="Arial"/>
          <w:szCs w:val="20"/>
        </w:rPr>
        <w:t>Cardiomyopathy: clinical consultant review required</w:t>
      </w:r>
      <w:r w:rsidRPr="00D216D8">
        <w:rPr>
          <w:rFonts w:cs="Arial"/>
          <w:b/>
          <w:bCs/>
          <w:szCs w:val="20"/>
        </w:rPr>
        <w:t>;</w:t>
      </w:r>
    </w:p>
    <w:p w14:paraId="41F88B50" w14:textId="77777777" w:rsidR="00D216D8" w:rsidRPr="00D216D8" w:rsidRDefault="00D216D8" w:rsidP="00D216D8">
      <w:pPr>
        <w:numPr>
          <w:ilvl w:val="2"/>
          <w:numId w:val="17"/>
        </w:numPr>
        <w:ind w:left="2160"/>
        <w:contextualSpacing/>
        <w:rPr>
          <w:rFonts w:cs="Arial"/>
          <w:bCs/>
          <w:szCs w:val="20"/>
        </w:rPr>
      </w:pPr>
      <w:r w:rsidRPr="00D216D8">
        <w:rPr>
          <w:rFonts w:cs="Arial"/>
          <w:szCs w:val="20"/>
        </w:rPr>
        <w:t xml:space="preserve">Short bowel syndrome: clinical consultant review required; </w:t>
      </w:r>
      <w:r w:rsidRPr="00D216D8">
        <w:rPr>
          <w:rFonts w:cs="Arial"/>
          <w:b/>
          <w:bCs/>
          <w:szCs w:val="20"/>
        </w:rPr>
        <w:t>OR</w:t>
      </w:r>
    </w:p>
    <w:p w14:paraId="77054411" w14:textId="77777777" w:rsidR="00D216D8" w:rsidRPr="00D216D8" w:rsidRDefault="00D216D8" w:rsidP="00D216D8">
      <w:pPr>
        <w:numPr>
          <w:ilvl w:val="2"/>
          <w:numId w:val="17"/>
        </w:numPr>
        <w:ind w:left="2160"/>
        <w:contextualSpacing/>
        <w:rPr>
          <w:rFonts w:cs="Arial"/>
          <w:bCs/>
          <w:szCs w:val="20"/>
        </w:rPr>
      </w:pPr>
      <w:r w:rsidRPr="00D216D8">
        <w:rPr>
          <w:rFonts w:cs="Arial"/>
          <w:szCs w:val="20"/>
        </w:rPr>
        <w:t xml:space="preserve">HIV with wasting or cachexia – must meet </w:t>
      </w:r>
      <w:proofErr w:type="gramStart"/>
      <w:r w:rsidRPr="00D216D8">
        <w:rPr>
          <w:rFonts w:cs="Arial"/>
          <w:szCs w:val="20"/>
        </w:rPr>
        <w:t>all of</w:t>
      </w:r>
      <w:proofErr w:type="gramEnd"/>
      <w:r w:rsidRPr="00D216D8">
        <w:rPr>
          <w:rFonts w:cs="Arial"/>
          <w:szCs w:val="20"/>
        </w:rPr>
        <w:t xml:space="preserve"> the following:</w:t>
      </w:r>
    </w:p>
    <w:p w14:paraId="20112F5F" w14:textId="77777777" w:rsidR="00D216D8" w:rsidRPr="00D216D8" w:rsidRDefault="00D216D8" w:rsidP="0074235B">
      <w:pPr>
        <w:numPr>
          <w:ilvl w:val="6"/>
          <w:numId w:val="17"/>
        </w:numPr>
        <w:ind w:left="2520"/>
        <w:contextualSpacing/>
        <w:rPr>
          <w:rFonts w:cs="Arial"/>
          <w:bCs/>
          <w:szCs w:val="20"/>
        </w:rPr>
      </w:pPr>
      <w:r w:rsidRPr="00D216D8">
        <w:rPr>
          <w:rFonts w:cs="Arial"/>
          <w:bCs/>
          <w:szCs w:val="20"/>
        </w:rPr>
        <w:t>Participant is currently receiving and compliant to antiretroviral therapy (90/120 days);</w:t>
      </w:r>
    </w:p>
    <w:p w14:paraId="4E531844" w14:textId="77777777" w:rsidR="00D216D8" w:rsidRPr="00D216D8" w:rsidRDefault="00D216D8" w:rsidP="0074235B">
      <w:pPr>
        <w:numPr>
          <w:ilvl w:val="6"/>
          <w:numId w:val="17"/>
        </w:numPr>
        <w:ind w:left="2520"/>
        <w:contextualSpacing/>
        <w:rPr>
          <w:rFonts w:cs="Arial"/>
          <w:b/>
          <w:bCs/>
          <w:szCs w:val="20"/>
        </w:rPr>
      </w:pPr>
      <w:r w:rsidRPr="00D216D8">
        <w:rPr>
          <w:rFonts w:cs="Arial"/>
          <w:szCs w:val="20"/>
        </w:rPr>
        <w:t>Documentation of unintentional weight loss of more than 5% body weight in the past 6 months</w:t>
      </w:r>
      <w:r w:rsidRPr="00D216D8">
        <w:rPr>
          <w:rFonts w:cs="Arial"/>
          <w:b/>
          <w:bCs/>
          <w:szCs w:val="20"/>
        </w:rPr>
        <w:t>;</w:t>
      </w:r>
    </w:p>
    <w:p w14:paraId="64D6D0DA" w14:textId="77777777" w:rsidR="00D216D8" w:rsidRPr="00D216D8" w:rsidRDefault="00D216D8" w:rsidP="0074235B">
      <w:pPr>
        <w:numPr>
          <w:ilvl w:val="6"/>
          <w:numId w:val="17"/>
        </w:numPr>
        <w:ind w:left="2520"/>
        <w:contextualSpacing/>
        <w:rPr>
          <w:rFonts w:cs="Arial"/>
          <w:bCs/>
          <w:szCs w:val="20"/>
        </w:rPr>
      </w:pPr>
      <w:r w:rsidRPr="00D216D8">
        <w:rPr>
          <w:rFonts w:cs="Arial"/>
          <w:szCs w:val="20"/>
        </w:rPr>
        <w:t>Documentation of baseline height and weight demonstrating a BMI &lt; 20 kg/m</w:t>
      </w:r>
      <w:r w:rsidRPr="00D216D8">
        <w:rPr>
          <w:rFonts w:cs="Arial"/>
          <w:szCs w:val="20"/>
          <w:vertAlign w:val="superscript"/>
        </w:rPr>
        <w:t>2</w:t>
      </w:r>
      <w:r w:rsidRPr="00D216D8">
        <w:rPr>
          <w:rFonts w:cs="Arial"/>
          <w:szCs w:val="20"/>
        </w:rPr>
        <w:t xml:space="preserve">; </w:t>
      </w:r>
      <w:r w:rsidRPr="00D216D8">
        <w:rPr>
          <w:rFonts w:cs="Arial"/>
          <w:b/>
          <w:bCs/>
          <w:szCs w:val="20"/>
        </w:rPr>
        <w:t>AND</w:t>
      </w:r>
    </w:p>
    <w:p w14:paraId="20172778" w14:textId="77777777" w:rsidR="00D216D8" w:rsidRPr="00D216D8" w:rsidRDefault="00D216D8" w:rsidP="0074235B">
      <w:pPr>
        <w:numPr>
          <w:ilvl w:val="6"/>
          <w:numId w:val="17"/>
        </w:numPr>
        <w:ind w:left="2520"/>
        <w:contextualSpacing/>
        <w:rPr>
          <w:rFonts w:cs="Arial"/>
          <w:szCs w:val="20"/>
        </w:rPr>
      </w:pPr>
      <w:r w:rsidRPr="00D216D8">
        <w:rPr>
          <w:rFonts w:cs="Arial"/>
          <w:szCs w:val="20"/>
        </w:rPr>
        <w:t xml:space="preserve">Adequate therapeutic trial (defined as at least 1 month of therapy) of dronabinol or megestrol acetate or documented contraindication/intolerance. </w:t>
      </w:r>
    </w:p>
    <w:p w14:paraId="3351EC21" w14:textId="77777777" w:rsidR="00D216D8" w:rsidRPr="00D216D8" w:rsidRDefault="00D216D8" w:rsidP="00D216D8">
      <w:pPr>
        <w:numPr>
          <w:ilvl w:val="0"/>
          <w:numId w:val="18"/>
        </w:numPr>
        <w:ind w:left="1440"/>
        <w:contextualSpacing/>
        <w:rPr>
          <w:rFonts w:cs="Arial"/>
          <w:szCs w:val="20"/>
        </w:rPr>
      </w:pPr>
      <w:r w:rsidRPr="00D216D8">
        <w:rPr>
          <w:rFonts w:cs="Arial"/>
          <w:szCs w:val="20"/>
        </w:rPr>
        <w:t>For participants less than 18 years of age and claim is for a non-preferred agent:</w:t>
      </w:r>
    </w:p>
    <w:p w14:paraId="68DC770B" w14:textId="77777777" w:rsidR="00D216D8" w:rsidRPr="00D216D8" w:rsidRDefault="00D216D8" w:rsidP="00D216D8">
      <w:pPr>
        <w:numPr>
          <w:ilvl w:val="1"/>
          <w:numId w:val="18"/>
        </w:numPr>
        <w:ind w:left="1800"/>
        <w:rPr>
          <w:rFonts w:cs="Arial"/>
          <w:szCs w:val="20"/>
        </w:rPr>
      </w:pPr>
      <w:r w:rsidRPr="00D216D8">
        <w:rPr>
          <w:rFonts w:cs="Arial"/>
          <w:szCs w:val="20"/>
        </w:rPr>
        <w:t xml:space="preserve">Documented diagnosis of one of the following: </w:t>
      </w:r>
    </w:p>
    <w:p w14:paraId="6CCFBEA7" w14:textId="77777777" w:rsidR="00D216D8" w:rsidRPr="00D216D8" w:rsidRDefault="00D216D8" w:rsidP="00D216D8">
      <w:pPr>
        <w:numPr>
          <w:ilvl w:val="2"/>
          <w:numId w:val="18"/>
        </w:numPr>
        <w:ind w:left="2160"/>
        <w:rPr>
          <w:rFonts w:cs="Arial"/>
          <w:szCs w:val="20"/>
        </w:rPr>
      </w:pPr>
      <w:r w:rsidRPr="00D216D8">
        <w:rPr>
          <w:rFonts w:cs="Arial"/>
          <w:szCs w:val="20"/>
        </w:rPr>
        <w:t xml:space="preserve">Prader-Willi syndrome – must meet </w:t>
      </w:r>
      <w:proofErr w:type="gramStart"/>
      <w:r w:rsidRPr="00D216D8">
        <w:rPr>
          <w:rFonts w:cs="Arial"/>
          <w:szCs w:val="20"/>
        </w:rPr>
        <w:t>all of</w:t>
      </w:r>
      <w:proofErr w:type="gramEnd"/>
      <w:r w:rsidRPr="00D216D8">
        <w:rPr>
          <w:rFonts w:cs="Arial"/>
          <w:szCs w:val="20"/>
        </w:rPr>
        <w:t xml:space="preserve"> the following: </w:t>
      </w:r>
    </w:p>
    <w:p w14:paraId="78D20ED1" w14:textId="77777777" w:rsidR="00D216D8" w:rsidRPr="00D216D8" w:rsidRDefault="00D216D8" w:rsidP="0074235B">
      <w:pPr>
        <w:numPr>
          <w:ilvl w:val="6"/>
          <w:numId w:val="18"/>
        </w:numPr>
        <w:ind w:left="2520"/>
        <w:rPr>
          <w:rFonts w:cs="Arial"/>
          <w:szCs w:val="20"/>
        </w:rPr>
      </w:pPr>
      <w:r w:rsidRPr="00D216D8">
        <w:rPr>
          <w:rFonts w:cs="Arial"/>
          <w:szCs w:val="20"/>
        </w:rPr>
        <w:t xml:space="preserve">Confirmed with genetic testing; </w:t>
      </w:r>
      <w:r w:rsidRPr="00D216D8">
        <w:rPr>
          <w:rFonts w:cs="Arial"/>
          <w:b/>
          <w:bCs/>
          <w:szCs w:val="20"/>
        </w:rPr>
        <w:t>AND</w:t>
      </w:r>
    </w:p>
    <w:p w14:paraId="2D8F5566" w14:textId="77777777" w:rsidR="00D216D8" w:rsidRPr="00D216D8" w:rsidRDefault="00D216D8" w:rsidP="0074235B">
      <w:pPr>
        <w:numPr>
          <w:ilvl w:val="6"/>
          <w:numId w:val="18"/>
        </w:numPr>
        <w:ind w:left="2520"/>
        <w:rPr>
          <w:rFonts w:cs="Arial"/>
          <w:szCs w:val="20"/>
        </w:rPr>
      </w:pPr>
      <w:r w:rsidRPr="00D216D8">
        <w:rPr>
          <w:rFonts w:cs="Arial"/>
          <w:szCs w:val="20"/>
        </w:rPr>
        <w:t>Documentation of baseline polysomnography</w:t>
      </w:r>
      <w:r w:rsidRPr="00D216D8">
        <w:rPr>
          <w:rFonts w:cs="Arial"/>
          <w:b/>
          <w:bCs/>
          <w:szCs w:val="20"/>
        </w:rPr>
        <w:t>;</w:t>
      </w:r>
    </w:p>
    <w:p w14:paraId="6ECBEC10" w14:textId="77777777" w:rsidR="00D216D8" w:rsidRPr="00D216D8" w:rsidRDefault="00D216D8" w:rsidP="00D216D8">
      <w:pPr>
        <w:numPr>
          <w:ilvl w:val="2"/>
          <w:numId w:val="18"/>
        </w:numPr>
        <w:ind w:left="2160"/>
        <w:rPr>
          <w:rFonts w:cs="Arial"/>
          <w:szCs w:val="20"/>
        </w:rPr>
      </w:pPr>
      <w:r w:rsidRPr="00D216D8">
        <w:rPr>
          <w:rFonts w:cs="Arial"/>
          <w:szCs w:val="20"/>
        </w:rPr>
        <w:t>Turner Syndrome confirmed by chromosome analysis</w:t>
      </w:r>
      <w:r w:rsidRPr="00D216D8">
        <w:rPr>
          <w:rFonts w:cs="Arial"/>
          <w:b/>
          <w:bCs/>
          <w:szCs w:val="20"/>
        </w:rPr>
        <w:t>;</w:t>
      </w:r>
    </w:p>
    <w:p w14:paraId="202C22FE" w14:textId="77777777" w:rsidR="00D216D8" w:rsidRPr="00D216D8" w:rsidRDefault="00D216D8" w:rsidP="00D216D8">
      <w:pPr>
        <w:numPr>
          <w:ilvl w:val="2"/>
          <w:numId w:val="18"/>
        </w:numPr>
        <w:ind w:left="2160"/>
        <w:rPr>
          <w:rFonts w:cs="Arial"/>
          <w:szCs w:val="20"/>
        </w:rPr>
      </w:pPr>
      <w:r w:rsidRPr="00D216D8">
        <w:rPr>
          <w:rFonts w:cs="Arial"/>
          <w:szCs w:val="20"/>
        </w:rPr>
        <w:t>Noonan syndrome confirmed with genetic testing</w:t>
      </w:r>
      <w:r w:rsidRPr="00D216D8">
        <w:rPr>
          <w:rFonts w:cs="Arial"/>
          <w:b/>
          <w:bCs/>
          <w:szCs w:val="20"/>
        </w:rPr>
        <w:t>;</w:t>
      </w:r>
    </w:p>
    <w:p w14:paraId="58472371" w14:textId="77777777" w:rsidR="00D216D8" w:rsidRPr="00D216D8" w:rsidRDefault="00D216D8" w:rsidP="00D216D8">
      <w:pPr>
        <w:numPr>
          <w:ilvl w:val="2"/>
          <w:numId w:val="18"/>
        </w:numPr>
        <w:ind w:left="2160"/>
        <w:rPr>
          <w:rFonts w:cs="Arial"/>
          <w:szCs w:val="20"/>
        </w:rPr>
      </w:pPr>
      <w:r w:rsidRPr="00D216D8">
        <w:rPr>
          <w:rFonts w:cs="Arial"/>
          <w:szCs w:val="20"/>
        </w:rPr>
        <w:t>Short stature homeobox-containing gene (SHOX) deficiency confirmed with genetic testing;</w:t>
      </w:r>
    </w:p>
    <w:p w14:paraId="3C279698" w14:textId="77777777" w:rsidR="00D216D8" w:rsidRPr="00D216D8" w:rsidRDefault="00D216D8" w:rsidP="00D216D8">
      <w:pPr>
        <w:numPr>
          <w:ilvl w:val="0"/>
          <w:numId w:val="19"/>
        </w:numPr>
        <w:ind w:left="2160"/>
        <w:rPr>
          <w:rFonts w:cs="Arial"/>
          <w:szCs w:val="20"/>
        </w:rPr>
      </w:pPr>
      <w:r w:rsidRPr="00D216D8">
        <w:rPr>
          <w:rFonts w:cs="Arial"/>
          <w:szCs w:val="20"/>
        </w:rPr>
        <w:t xml:space="preserve">Growth hormone deficiency – must meet </w:t>
      </w:r>
      <w:proofErr w:type="gramStart"/>
      <w:r w:rsidRPr="00D216D8">
        <w:rPr>
          <w:rFonts w:cs="Arial"/>
          <w:szCs w:val="20"/>
        </w:rPr>
        <w:t>all of</w:t>
      </w:r>
      <w:proofErr w:type="gramEnd"/>
      <w:r w:rsidRPr="00D216D8">
        <w:rPr>
          <w:rFonts w:cs="Arial"/>
          <w:szCs w:val="20"/>
        </w:rPr>
        <w:t xml:space="preserve"> the following:</w:t>
      </w:r>
    </w:p>
    <w:p w14:paraId="55C91850" w14:textId="77777777" w:rsidR="00D216D8" w:rsidRPr="00D216D8" w:rsidRDefault="00D216D8" w:rsidP="00D216D8">
      <w:pPr>
        <w:numPr>
          <w:ilvl w:val="1"/>
          <w:numId w:val="19"/>
        </w:numPr>
        <w:ind w:left="2520"/>
        <w:rPr>
          <w:rFonts w:cs="Arial"/>
          <w:szCs w:val="20"/>
        </w:rPr>
      </w:pPr>
      <w:r w:rsidRPr="00D216D8">
        <w:rPr>
          <w:rFonts w:cs="Arial"/>
          <w:szCs w:val="20"/>
        </w:rPr>
        <w:t>Demonstration of growth hormone deficiency – must meet one of the following:</w:t>
      </w:r>
    </w:p>
    <w:p w14:paraId="1EB69FC3" w14:textId="77777777" w:rsidR="00D216D8" w:rsidRPr="00D216D8" w:rsidRDefault="00D216D8" w:rsidP="00D216D8">
      <w:pPr>
        <w:numPr>
          <w:ilvl w:val="0"/>
          <w:numId w:val="25"/>
        </w:numPr>
        <w:ind w:left="2880"/>
        <w:rPr>
          <w:rFonts w:cs="Arial"/>
          <w:szCs w:val="20"/>
        </w:rPr>
      </w:pPr>
      <w:r w:rsidRPr="00D216D8">
        <w:rPr>
          <w:rFonts w:cs="Arial"/>
          <w:szCs w:val="20"/>
        </w:rPr>
        <w:t xml:space="preserve">Failure of 2 GH stimulation tests with GH response values &lt; 10 ng/mL (e.g., arginine, clonidine glucagon, propranolol, levodopa, or insulin); </w:t>
      </w:r>
      <w:r w:rsidRPr="00D216D8">
        <w:rPr>
          <w:rFonts w:cs="Arial"/>
          <w:b/>
          <w:bCs/>
          <w:szCs w:val="20"/>
        </w:rPr>
        <w:t>OR</w:t>
      </w:r>
    </w:p>
    <w:p w14:paraId="5F1BC87D" w14:textId="77777777" w:rsidR="00D216D8" w:rsidRPr="00D216D8" w:rsidRDefault="00D216D8" w:rsidP="00D216D8">
      <w:pPr>
        <w:numPr>
          <w:ilvl w:val="0"/>
          <w:numId w:val="25"/>
        </w:numPr>
        <w:ind w:left="2880"/>
        <w:rPr>
          <w:rFonts w:cs="Arial"/>
          <w:szCs w:val="20"/>
        </w:rPr>
      </w:pPr>
      <w:r w:rsidRPr="00D216D8">
        <w:rPr>
          <w:rFonts w:cs="Arial"/>
          <w:szCs w:val="20"/>
        </w:rPr>
        <w:t xml:space="preserve">Low serum insulin-like growth factor I (IGF-I) defined as below -1 SDS AND failure of 1 GH stimulation test with GH response value &lt; 10 ng/mL; </w:t>
      </w:r>
      <w:r w:rsidRPr="00D216D8">
        <w:rPr>
          <w:rFonts w:cs="Arial"/>
          <w:b/>
          <w:bCs/>
          <w:szCs w:val="20"/>
        </w:rPr>
        <w:t>AND</w:t>
      </w:r>
    </w:p>
    <w:p w14:paraId="47E75CA5" w14:textId="77777777" w:rsidR="00D216D8" w:rsidRPr="00D216D8" w:rsidRDefault="00D216D8" w:rsidP="00D216D8">
      <w:pPr>
        <w:numPr>
          <w:ilvl w:val="0"/>
          <w:numId w:val="20"/>
        </w:numPr>
        <w:ind w:left="2520"/>
        <w:rPr>
          <w:rFonts w:cs="Arial"/>
          <w:szCs w:val="20"/>
        </w:rPr>
      </w:pPr>
      <w:r w:rsidRPr="00D216D8">
        <w:rPr>
          <w:rFonts w:cs="Arial"/>
          <w:szCs w:val="20"/>
        </w:rPr>
        <w:t>Growth failure defined as one of the following:</w:t>
      </w:r>
    </w:p>
    <w:p w14:paraId="11D9FBBD" w14:textId="77777777" w:rsidR="00D216D8" w:rsidRPr="00D216D8" w:rsidRDefault="00D216D8" w:rsidP="00D216D8">
      <w:pPr>
        <w:numPr>
          <w:ilvl w:val="1"/>
          <w:numId w:val="23"/>
        </w:numPr>
        <w:ind w:left="2880"/>
        <w:rPr>
          <w:rFonts w:cs="Arial"/>
          <w:szCs w:val="20"/>
        </w:rPr>
      </w:pPr>
      <w:r w:rsidRPr="00D216D8">
        <w:rPr>
          <w:rFonts w:cs="Arial"/>
          <w:szCs w:val="20"/>
        </w:rPr>
        <w:t xml:space="preserve">Height SDS more than </w:t>
      </w:r>
      <w:r w:rsidRPr="00D216D8">
        <w:rPr>
          <w:rFonts w:cs="Arial"/>
          <w:spacing w:val="-3"/>
          <w:szCs w:val="20"/>
        </w:rPr>
        <w:t>2.5</w:t>
      </w:r>
      <w:r w:rsidRPr="00D216D8">
        <w:rPr>
          <w:rFonts w:cs="Arial"/>
          <w:b/>
          <w:bCs/>
          <w:spacing w:val="-3"/>
          <w:szCs w:val="20"/>
        </w:rPr>
        <w:t xml:space="preserve"> </w:t>
      </w:r>
      <w:r w:rsidRPr="00D216D8">
        <w:rPr>
          <w:rFonts w:cs="Arial"/>
          <w:szCs w:val="20"/>
        </w:rPr>
        <w:t xml:space="preserve">SDS below the mean for chronological age and sex; </w:t>
      </w:r>
      <w:r w:rsidRPr="00D216D8">
        <w:rPr>
          <w:rFonts w:cs="Arial"/>
          <w:b/>
          <w:bCs/>
          <w:szCs w:val="20"/>
        </w:rPr>
        <w:t>OR</w:t>
      </w:r>
    </w:p>
    <w:p w14:paraId="729B344F" w14:textId="77777777" w:rsidR="00D216D8" w:rsidRPr="00D216D8" w:rsidRDefault="00D216D8" w:rsidP="00D216D8">
      <w:pPr>
        <w:numPr>
          <w:ilvl w:val="1"/>
          <w:numId w:val="23"/>
        </w:numPr>
        <w:ind w:left="2880"/>
        <w:rPr>
          <w:rFonts w:cs="Arial"/>
          <w:b/>
          <w:bCs/>
          <w:color w:val="0070C0"/>
          <w:szCs w:val="20"/>
        </w:rPr>
      </w:pPr>
      <w:r w:rsidRPr="00D216D8">
        <w:rPr>
          <w:rFonts w:cs="Arial"/>
          <w:szCs w:val="20"/>
        </w:rPr>
        <w:t>Height is more than 2 SDS below the mean for chronological age and sex AND growth velocity measured over 1 year is less than 5 cm/year</w:t>
      </w:r>
      <w:r w:rsidRPr="00D216D8">
        <w:rPr>
          <w:rFonts w:cs="Arial"/>
          <w:b/>
          <w:bCs/>
          <w:color w:val="0070C0"/>
          <w:szCs w:val="20"/>
        </w:rPr>
        <w:t>.</w:t>
      </w:r>
    </w:p>
    <w:p w14:paraId="4732B2CF" w14:textId="77777777" w:rsidR="00D216D8" w:rsidRPr="00D216D8" w:rsidRDefault="00D216D8" w:rsidP="00CD12C1">
      <w:pPr>
        <w:numPr>
          <w:ilvl w:val="2"/>
          <w:numId w:val="17"/>
        </w:numPr>
        <w:ind w:left="2160"/>
        <w:rPr>
          <w:rFonts w:cs="Arial"/>
          <w:szCs w:val="20"/>
        </w:rPr>
      </w:pPr>
      <w:r w:rsidRPr="00D216D8">
        <w:rPr>
          <w:rFonts w:cs="Arial"/>
          <w:szCs w:val="20"/>
        </w:rPr>
        <w:t xml:space="preserve">Chronic renal insufficiency/chronic kidney disease (CKD): </w:t>
      </w:r>
    </w:p>
    <w:p w14:paraId="7F028FA1" w14:textId="77777777" w:rsidR="00D216D8" w:rsidRPr="00D216D8" w:rsidRDefault="00D216D8" w:rsidP="00CD12C1">
      <w:pPr>
        <w:numPr>
          <w:ilvl w:val="6"/>
          <w:numId w:val="17"/>
        </w:numPr>
        <w:ind w:left="2520"/>
        <w:rPr>
          <w:rFonts w:cs="Arial"/>
          <w:szCs w:val="20"/>
        </w:rPr>
      </w:pPr>
      <w:r w:rsidRPr="00D216D8">
        <w:rPr>
          <w:rFonts w:cs="Arial"/>
          <w:szCs w:val="20"/>
        </w:rPr>
        <w:t>Lack of renal transplant in the past year</w:t>
      </w:r>
    </w:p>
    <w:p w14:paraId="204D0AED" w14:textId="77777777" w:rsidR="00D216D8" w:rsidRPr="00D216D8" w:rsidRDefault="00D216D8" w:rsidP="00D216D8">
      <w:pPr>
        <w:numPr>
          <w:ilvl w:val="2"/>
          <w:numId w:val="17"/>
        </w:numPr>
        <w:ind w:left="2160"/>
        <w:rPr>
          <w:rFonts w:cs="Arial"/>
          <w:szCs w:val="20"/>
        </w:rPr>
      </w:pPr>
      <w:r w:rsidRPr="00D216D8">
        <w:rPr>
          <w:rFonts w:cs="Arial"/>
          <w:szCs w:val="20"/>
        </w:rPr>
        <w:t>Children currently aged 2 to 8 years</w:t>
      </w:r>
      <w:r w:rsidRPr="00D216D8">
        <w:rPr>
          <w:rFonts w:cs="Arial"/>
          <w:b/>
          <w:bCs/>
          <w:szCs w:val="20"/>
        </w:rPr>
        <w:t xml:space="preserve"> </w:t>
      </w:r>
      <w:r w:rsidRPr="00D216D8">
        <w:rPr>
          <w:rFonts w:cs="Arial"/>
          <w:szCs w:val="20"/>
        </w:rPr>
        <w:t xml:space="preserve">who were born small for gestational age – must meet </w:t>
      </w:r>
      <w:proofErr w:type="gramStart"/>
      <w:r w:rsidRPr="00D216D8">
        <w:rPr>
          <w:rFonts w:cs="Arial"/>
          <w:szCs w:val="20"/>
        </w:rPr>
        <w:t>all of</w:t>
      </w:r>
      <w:proofErr w:type="gramEnd"/>
      <w:r w:rsidRPr="00D216D8">
        <w:rPr>
          <w:rFonts w:cs="Arial"/>
          <w:szCs w:val="20"/>
        </w:rPr>
        <w:t xml:space="preserve"> the following: </w:t>
      </w:r>
    </w:p>
    <w:p w14:paraId="46A8EE41" w14:textId="77777777" w:rsidR="00D216D8" w:rsidRPr="00D216D8" w:rsidRDefault="00D216D8" w:rsidP="00AF46A2">
      <w:pPr>
        <w:numPr>
          <w:ilvl w:val="6"/>
          <w:numId w:val="17"/>
        </w:numPr>
        <w:ind w:left="2520"/>
        <w:rPr>
          <w:rFonts w:cs="Arial"/>
          <w:szCs w:val="20"/>
        </w:rPr>
      </w:pPr>
      <w:r w:rsidRPr="00D216D8">
        <w:rPr>
          <w:rFonts w:cs="Arial"/>
          <w:szCs w:val="20"/>
        </w:rPr>
        <w:lastRenderedPageBreak/>
        <w:t xml:space="preserve">Birth weight or length 2 or more SDS below the mean for gestational age; </w:t>
      </w:r>
      <w:r w:rsidRPr="00D216D8">
        <w:rPr>
          <w:rFonts w:cs="Arial"/>
          <w:b/>
          <w:bCs/>
          <w:szCs w:val="20"/>
        </w:rPr>
        <w:t>AND</w:t>
      </w:r>
    </w:p>
    <w:p w14:paraId="59C90A61" w14:textId="77777777" w:rsidR="00D216D8" w:rsidRPr="00D216D8" w:rsidRDefault="00D216D8" w:rsidP="00AF46A2">
      <w:pPr>
        <w:numPr>
          <w:ilvl w:val="6"/>
          <w:numId w:val="17"/>
        </w:numPr>
        <w:ind w:left="2520"/>
        <w:contextualSpacing/>
        <w:rPr>
          <w:rFonts w:cs="Arial"/>
          <w:szCs w:val="20"/>
        </w:rPr>
      </w:pPr>
      <w:r w:rsidRPr="00D216D8">
        <w:rPr>
          <w:rFonts w:cs="Arial"/>
          <w:szCs w:val="20"/>
        </w:rPr>
        <w:t xml:space="preserve">Participant fails to manifest catch up growth by age two years, defined as height 2 or more SDS below the mean for age and sex; </w:t>
      </w:r>
      <w:r w:rsidRPr="00D216D8">
        <w:rPr>
          <w:rFonts w:cs="Arial"/>
          <w:b/>
          <w:bCs/>
          <w:szCs w:val="20"/>
        </w:rPr>
        <w:t>OR</w:t>
      </w:r>
    </w:p>
    <w:p w14:paraId="10A0121E" w14:textId="77777777" w:rsidR="00D216D8" w:rsidRPr="00D216D8" w:rsidRDefault="00D216D8" w:rsidP="00D216D8">
      <w:pPr>
        <w:numPr>
          <w:ilvl w:val="0"/>
          <w:numId w:val="21"/>
        </w:numPr>
        <w:ind w:left="2160"/>
        <w:rPr>
          <w:rFonts w:cs="Arial"/>
          <w:szCs w:val="20"/>
        </w:rPr>
      </w:pPr>
      <w:r w:rsidRPr="00D216D8">
        <w:rPr>
          <w:rFonts w:cs="Arial"/>
          <w:szCs w:val="20"/>
        </w:rPr>
        <w:t xml:space="preserve">Idiopathic short stature with lack of other identifiable causes of subnormal growth (i.e., hypothyroidism, chronic illness, undernutrition, or genetic disorders) – must meet </w:t>
      </w:r>
      <w:proofErr w:type="gramStart"/>
      <w:r w:rsidRPr="00D216D8">
        <w:rPr>
          <w:rFonts w:cs="Arial"/>
          <w:szCs w:val="20"/>
        </w:rPr>
        <w:t>all of</w:t>
      </w:r>
      <w:proofErr w:type="gramEnd"/>
      <w:r w:rsidRPr="00D216D8">
        <w:rPr>
          <w:rFonts w:cs="Arial"/>
          <w:szCs w:val="20"/>
        </w:rPr>
        <w:t xml:space="preserve"> the following:</w:t>
      </w:r>
    </w:p>
    <w:p w14:paraId="67E3CB6F" w14:textId="77777777" w:rsidR="00D216D8" w:rsidRPr="00D216D8" w:rsidRDefault="00D216D8" w:rsidP="00BB0D5C">
      <w:pPr>
        <w:numPr>
          <w:ilvl w:val="1"/>
          <w:numId w:val="21"/>
        </w:numPr>
        <w:ind w:left="2520"/>
        <w:rPr>
          <w:rFonts w:cs="Arial"/>
          <w:szCs w:val="20"/>
        </w:rPr>
      </w:pPr>
      <w:r w:rsidRPr="00D216D8">
        <w:rPr>
          <w:rFonts w:cs="Arial"/>
          <w:szCs w:val="20"/>
        </w:rPr>
        <w:t xml:space="preserve">Height is more than 2.25 SDS below the mean for chronological age and sex; </w:t>
      </w:r>
      <w:r w:rsidRPr="00D216D8">
        <w:rPr>
          <w:rFonts w:cs="Arial"/>
          <w:b/>
          <w:bCs/>
          <w:szCs w:val="20"/>
        </w:rPr>
        <w:t>AND</w:t>
      </w:r>
      <w:r w:rsidRPr="00D216D8">
        <w:rPr>
          <w:rFonts w:cs="Arial"/>
          <w:szCs w:val="20"/>
        </w:rPr>
        <w:t xml:space="preserve"> </w:t>
      </w:r>
    </w:p>
    <w:p w14:paraId="2900468E" w14:textId="77777777" w:rsidR="00D216D8" w:rsidRPr="00D216D8" w:rsidRDefault="00D216D8" w:rsidP="00D216D8">
      <w:pPr>
        <w:numPr>
          <w:ilvl w:val="1"/>
          <w:numId w:val="21"/>
        </w:numPr>
        <w:ind w:left="2520"/>
        <w:rPr>
          <w:rFonts w:cs="Arial"/>
          <w:szCs w:val="20"/>
        </w:rPr>
      </w:pPr>
      <w:r w:rsidRPr="00D216D8">
        <w:rPr>
          <w:rFonts w:cs="Arial"/>
          <w:szCs w:val="20"/>
        </w:rPr>
        <w:t>Growth velocity measured over 1 year is less than 5 cm/year.</w:t>
      </w:r>
    </w:p>
    <w:p w14:paraId="0A9F7847" w14:textId="77777777" w:rsidR="00D216D8" w:rsidRPr="00D216D8" w:rsidRDefault="00D216D8" w:rsidP="00D216D8">
      <w:pPr>
        <w:numPr>
          <w:ilvl w:val="0"/>
          <w:numId w:val="24"/>
        </w:numPr>
        <w:ind w:left="1800"/>
        <w:rPr>
          <w:rFonts w:cs="Arial"/>
          <w:szCs w:val="20"/>
        </w:rPr>
      </w:pPr>
      <w:r w:rsidRPr="00D216D8">
        <w:rPr>
          <w:rFonts w:cs="Arial"/>
          <w:szCs w:val="20"/>
        </w:rPr>
        <w:t>Participants 10 years of age and older – must meet one of the following:</w:t>
      </w:r>
    </w:p>
    <w:p w14:paraId="22D5E23C" w14:textId="15E7B89F" w:rsidR="00D216D8" w:rsidRPr="00D216D8" w:rsidRDefault="00D216D8" w:rsidP="00CD12C1">
      <w:pPr>
        <w:numPr>
          <w:ilvl w:val="0"/>
          <w:numId w:val="28"/>
        </w:numPr>
        <w:ind w:left="2160"/>
        <w:contextualSpacing/>
        <w:rPr>
          <w:rFonts w:cs="Arial"/>
          <w:szCs w:val="20"/>
        </w:rPr>
      </w:pPr>
      <w:r w:rsidRPr="00D216D8">
        <w:rPr>
          <w:rFonts w:cs="Arial"/>
          <w:szCs w:val="20"/>
        </w:rPr>
        <w:t>Documented bone age less than 14 years for females and 16 years for males</w:t>
      </w:r>
      <w:r w:rsidR="00CD12C1">
        <w:rPr>
          <w:rFonts w:cs="Arial"/>
          <w:szCs w:val="20"/>
        </w:rPr>
        <w:t xml:space="preserve">; </w:t>
      </w:r>
      <w:r w:rsidRPr="00D216D8">
        <w:rPr>
          <w:rFonts w:cs="Arial"/>
          <w:b/>
          <w:bCs/>
          <w:szCs w:val="20"/>
        </w:rPr>
        <w:t>OR</w:t>
      </w:r>
    </w:p>
    <w:p w14:paraId="0254D23F" w14:textId="77777777" w:rsidR="00D216D8" w:rsidRPr="00D216D8" w:rsidRDefault="00D216D8" w:rsidP="00CD12C1">
      <w:pPr>
        <w:numPr>
          <w:ilvl w:val="0"/>
          <w:numId w:val="28"/>
        </w:numPr>
        <w:ind w:left="2160"/>
        <w:contextualSpacing/>
        <w:rPr>
          <w:rFonts w:cs="Arial"/>
          <w:szCs w:val="20"/>
        </w:rPr>
      </w:pPr>
      <w:r w:rsidRPr="00D216D8">
        <w:rPr>
          <w:rFonts w:cs="Arial"/>
          <w:szCs w:val="20"/>
        </w:rPr>
        <w:t>Documented open epiphyses.</w:t>
      </w:r>
    </w:p>
    <w:p w14:paraId="0B126214" w14:textId="77777777" w:rsidR="00D216D8" w:rsidRPr="00D216D8" w:rsidRDefault="00D216D8" w:rsidP="00D216D8">
      <w:pPr>
        <w:numPr>
          <w:ilvl w:val="1"/>
          <w:numId w:val="22"/>
        </w:numPr>
        <w:ind w:left="1800"/>
        <w:contextualSpacing/>
        <w:rPr>
          <w:rFonts w:cs="Arial"/>
          <w:bCs/>
          <w:szCs w:val="20"/>
        </w:rPr>
      </w:pPr>
      <w:r w:rsidRPr="00D216D8">
        <w:rPr>
          <w:rFonts w:cs="Arial"/>
          <w:szCs w:val="20"/>
        </w:rPr>
        <w:t>Additional approval criteria for Serostim:</w:t>
      </w:r>
    </w:p>
    <w:p w14:paraId="5B494CAB" w14:textId="77777777" w:rsidR="00D216D8" w:rsidRPr="00D216D8" w:rsidRDefault="00D216D8" w:rsidP="00D216D8">
      <w:pPr>
        <w:numPr>
          <w:ilvl w:val="2"/>
          <w:numId w:val="22"/>
        </w:numPr>
        <w:ind w:left="2160"/>
        <w:contextualSpacing/>
        <w:rPr>
          <w:rFonts w:cs="Arial"/>
          <w:bCs/>
          <w:szCs w:val="20"/>
        </w:rPr>
      </w:pPr>
      <w:r w:rsidRPr="00D216D8">
        <w:rPr>
          <w:rFonts w:cs="Arial"/>
          <w:szCs w:val="20"/>
        </w:rPr>
        <w:t>Clinical consultant review required for use in pediatrics.</w:t>
      </w:r>
    </w:p>
    <w:p w14:paraId="2CF7C673" w14:textId="77777777" w:rsidR="00D216D8" w:rsidRPr="00D216D8" w:rsidRDefault="00D216D8" w:rsidP="00D216D8">
      <w:pPr>
        <w:rPr>
          <w:rFonts w:cs="Arial"/>
          <w:b/>
          <w:bCs/>
          <w:color w:val="0070C0"/>
          <w:szCs w:val="20"/>
        </w:rPr>
      </w:pPr>
    </w:p>
    <w:p w14:paraId="3884F65B" w14:textId="77777777" w:rsidR="00D216D8" w:rsidRPr="00D216D8" w:rsidRDefault="00D216D8" w:rsidP="00D216D8">
      <w:pPr>
        <w:rPr>
          <w:rFonts w:cs="Arial"/>
          <w:szCs w:val="20"/>
          <w:u w:val="single"/>
        </w:rPr>
      </w:pPr>
      <w:r w:rsidRPr="00D216D8">
        <w:rPr>
          <w:rFonts w:cs="Arial"/>
          <w:szCs w:val="20"/>
          <w:u w:val="single"/>
        </w:rPr>
        <w:t xml:space="preserve">Continuation of Therapy: </w:t>
      </w:r>
    </w:p>
    <w:p w14:paraId="5FEBCCF6" w14:textId="77777777" w:rsidR="00D216D8" w:rsidRPr="00D216D8" w:rsidRDefault="00D216D8" w:rsidP="00D216D8">
      <w:pPr>
        <w:numPr>
          <w:ilvl w:val="0"/>
          <w:numId w:val="17"/>
        </w:numPr>
        <w:contextualSpacing/>
        <w:rPr>
          <w:rFonts w:cs="Arial"/>
          <w:szCs w:val="20"/>
        </w:rPr>
      </w:pPr>
      <w:r w:rsidRPr="00D216D8">
        <w:rPr>
          <w:rFonts w:cs="Arial"/>
          <w:szCs w:val="20"/>
        </w:rPr>
        <w:t xml:space="preserve">Must meet one of the following: </w:t>
      </w:r>
    </w:p>
    <w:p w14:paraId="7422D347" w14:textId="77777777" w:rsidR="00D216D8" w:rsidRPr="00D216D8" w:rsidRDefault="00D216D8" w:rsidP="00D216D8">
      <w:pPr>
        <w:numPr>
          <w:ilvl w:val="1"/>
          <w:numId w:val="17"/>
        </w:numPr>
        <w:contextualSpacing/>
        <w:rPr>
          <w:rFonts w:cs="Arial"/>
          <w:szCs w:val="20"/>
        </w:rPr>
      </w:pPr>
      <w:r w:rsidRPr="00D216D8">
        <w:rPr>
          <w:rFonts w:cs="Arial"/>
          <w:szCs w:val="20"/>
        </w:rPr>
        <w:t xml:space="preserve">Participant aged &lt; 18 years and claim is for a preferred agent; </w:t>
      </w:r>
      <w:r w:rsidRPr="00AF46A2">
        <w:rPr>
          <w:rFonts w:cs="Arial"/>
          <w:b/>
          <w:bCs/>
          <w:szCs w:val="20"/>
        </w:rPr>
        <w:t>OR</w:t>
      </w:r>
    </w:p>
    <w:p w14:paraId="771049CB" w14:textId="77777777" w:rsidR="00D216D8" w:rsidRPr="00D216D8" w:rsidRDefault="00D216D8" w:rsidP="00D216D8">
      <w:pPr>
        <w:numPr>
          <w:ilvl w:val="1"/>
          <w:numId w:val="17"/>
        </w:numPr>
        <w:contextualSpacing/>
        <w:rPr>
          <w:rFonts w:cs="Arial"/>
          <w:szCs w:val="20"/>
        </w:rPr>
      </w:pPr>
      <w:r w:rsidRPr="00D216D8">
        <w:rPr>
          <w:rFonts w:cs="Arial"/>
          <w:szCs w:val="20"/>
        </w:rPr>
        <w:t xml:space="preserve">Must meet </w:t>
      </w:r>
      <w:proofErr w:type="gramStart"/>
      <w:r w:rsidRPr="00D216D8">
        <w:rPr>
          <w:rFonts w:cs="Arial"/>
          <w:szCs w:val="20"/>
        </w:rPr>
        <w:t>all of</w:t>
      </w:r>
      <w:proofErr w:type="gramEnd"/>
      <w:r w:rsidRPr="00D216D8">
        <w:rPr>
          <w:rFonts w:cs="Arial"/>
          <w:szCs w:val="20"/>
        </w:rPr>
        <w:t xml:space="preserve"> the following:</w:t>
      </w:r>
    </w:p>
    <w:p w14:paraId="46EBEC74" w14:textId="77777777" w:rsidR="00D216D8" w:rsidRPr="00D216D8" w:rsidRDefault="00D216D8" w:rsidP="00D216D8">
      <w:pPr>
        <w:numPr>
          <w:ilvl w:val="2"/>
          <w:numId w:val="17"/>
        </w:numPr>
        <w:contextualSpacing/>
        <w:rPr>
          <w:rFonts w:cs="Arial"/>
          <w:szCs w:val="20"/>
        </w:rPr>
      </w:pPr>
      <w:r w:rsidRPr="00D216D8">
        <w:rPr>
          <w:rFonts w:cs="Arial"/>
          <w:szCs w:val="20"/>
        </w:rPr>
        <w:t>Documentation of current laboratory values as necessary (i.e., IGF-1, BMI)</w:t>
      </w:r>
      <w:r w:rsidRPr="00D216D8">
        <w:rPr>
          <w:rFonts w:cs="Arial"/>
          <w:b/>
          <w:bCs/>
          <w:szCs w:val="20"/>
        </w:rPr>
        <w:t>;</w:t>
      </w:r>
    </w:p>
    <w:p w14:paraId="63DAF3C8" w14:textId="77777777" w:rsidR="00D216D8" w:rsidRPr="00D216D8" w:rsidRDefault="00D216D8" w:rsidP="00D216D8">
      <w:pPr>
        <w:numPr>
          <w:ilvl w:val="2"/>
          <w:numId w:val="17"/>
        </w:numPr>
        <w:contextualSpacing/>
        <w:rPr>
          <w:rFonts w:cs="Arial"/>
          <w:szCs w:val="20"/>
        </w:rPr>
      </w:pPr>
      <w:r w:rsidRPr="00D216D8">
        <w:rPr>
          <w:rFonts w:cs="Arial"/>
          <w:szCs w:val="20"/>
        </w:rPr>
        <w:t xml:space="preserve">For participants 10 to 18 years of age – must meet one of the following: </w:t>
      </w:r>
    </w:p>
    <w:p w14:paraId="61C73119" w14:textId="77777777" w:rsidR="00D216D8" w:rsidRPr="00D216D8" w:rsidRDefault="00D216D8" w:rsidP="00BB0D5C">
      <w:pPr>
        <w:numPr>
          <w:ilvl w:val="3"/>
          <w:numId w:val="17"/>
        </w:numPr>
        <w:contextualSpacing/>
        <w:rPr>
          <w:rFonts w:cs="Arial"/>
          <w:szCs w:val="20"/>
        </w:rPr>
      </w:pPr>
      <w:r w:rsidRPr="00D216D8">
        <w:rPr>
          <w:rFonts w:cs="Arial"/>
          <w:szCs w:val="20"/>
        </w:rPr>
        <w:t xml:space="preserve">Documentation of current bone age less than 14 years for females and 16 years for males; </w:t>
      </w:r>
      <w:r w:rsidRPr="00D216D8">
        <w:rPr>
          <w:rFonts w:cs="Arial"/>
          <w:b/>
          <w:bCs/>
          <w:szCs w:val="20"/>
        </w:rPr>
        <w:t>OR</w:t>
      </w:r>
    </w:p>
    <w:p w14:paraId="31B36612" w14:textId="77777777" w:rsidR="00D216D8" w:rsidRPr="00D216D8" w:rsidRDefault="00D216D8" w:rsidP="00BB0D5C">
      <w:pPr>
        <w:numPr>
          <w:ilvl w:val="3"/>
          <w:numId w:val="17"/>
        </w:numPr>
        <w:contextualSpacing/>
        <w:rPr>
          <w:rFonts w:cs="Arial"/>
          <w:szCs w:val="20"/>
        </w:rPr>
      </w:pPr>
      <w:r w:rsidRPr="00D216D8">
        <w:rPr>
          <w:rFonts w:cs="Arial"/>
          <w:szCs w:val="20"/>
        </w:rPr>
        <w:t xml:space="preserve">Growth velocity is more than 2 cm/year. </w:t>
      </w:r>
    </w:p>
    <w:p w14:paraId="4A5FA026" w14:textId="77777777" w:rsidR="00D216D8" w:rsidRPr="00D216D8" w:rsidRDefault="00D216D8" w:rsidP="00D216D8">
      <w:pPr>
        <w:numPr>
          <w:ilvl w:val="2"/>
          <w:numId w:val="17"/>
        </w:numPr>
        <w:contextualSpacing/>
        <w:rPr>
          <w:rFonts w:cs="Arial"/>
          <w:szCs w:val="20"/>
        </w:rPr>
      </w:pPr>
      <w:r w:rsidRPr="00D216D8">
        <w:rPr>
          <w:rFonts w:cs="Arial"/>
          <w:szCs w:val="20"/>
        </w:rPr>
        <w:t xml:space="preserve">Documentation of benefit of therapy as demonstrated by growth monitoring or improvement/ stabilization in BMI; </w:t>
      </w:r>
      <w:r w:rsidRPr="00D216D8">
        <w:rPr>
          <w:rFonts w:cs="Arial"/>
          <w:b/>
          <w:bCs/>
          <w:szCs w:val="20"/>
        </w:rPr>
        <w:t>AND</w:t>
      </w:r>
    </w:p>
    <w:p w14:paraId="518FA2F4" w14:textId="77777777" w:rsidR="00D216D8" w:rsidRPr="00D216D8" w:rsidRDefault="00D216D8" w:rsidP="00D216D8">
      <w:pPr>
        <w:numPr>
          <w:ilvl w:val="2"/>
          <w:numId w:val="17"/>
        </w:numPr>
        <w:contextualSpacing/>
        <w:rPr>
          <w:rFonts w:cs="Arial"/>
          <w:szCs w:val="20"/>
        </w:rPr>
      </w:pPr>
      <w:r w:rsidRPr="00D216D8">
        <w:rPr>
          <w:rFonts w:cs="Arial"/>
          <w:szCs w:val="20"/>
        </w:rPr>
        <w:t>Documentation of polysomnography as necessary.</w:t>
      </w:r>
    </w:p>
    <w:p w14:paraId="1B509DCA" w14:textId="77777777" w:rsidR="00635DDB" w:rsidRPr="002C2C41" w:rsidRDefault="00635DDB" w:rsidP="00635DDB">
      <w:pPr>
        <w:rPr>
          <w:rFonts w:cs="Arial"/>
          <w:szCs w:val="20"/>
        </w:rPr>
      </w:pP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15FDBB6" w14:textId="77777777" w:rsidR="00371171" w:rsidRPr="00371171" w:rsidRDefault="00371171" w:rsidP="00371171">
      <w:pPr>
        <w:numPr>
          <w:ilvl w:val="0"/>
          <w:numId w:val="26"/>
        </w:numPr>
        <w:contextualSpacing/>
        <w:rPr>
          <w:rFonts w:cs="Arial"/>
          <w:noProof/>
          <w:szCs w:val="20"/>
        </w:rPr>
      </w:pPr>
      <w:r w:rsidRPr="00371171">
        <w:rPr>
          <w:rFonts w:cs="Arial"/>
          <w:noProof/>
          <w:szCs w:val="20"/>
        </w:rPr>
        <w:t>Therapy will deny with the presence of one of the following:</w:t>
      </w:r>
    </w:p>
    <w:p w14:paraId="657CC907" w14:textId="77777777" w:rsidR="00371171" w:rsidRPr="00371171" w:rsidRDefault="00371171" w:rsidP="00371171">
      <w:pPr>
        <w:numPr>
          <w:ilvl w:val="1"/>
          <w:numId w:val="26"/>
        </w:numPr>
        <w:contextualSpacing/>
        <w:rPr>
          <w:rFonts w:cs="Arial"/>
          <w:noProof/>
          <w:szCs w:val="20"/>
        </w:rPr>
      </w:pPr>
      <w:r w:rsidRPr="00371171">
        <w:rPr>
          <w:rFonts w:cs="Arial"/>
          <w:noProof/>
          <w:szCs w:val="20"/>
        </w:rPr>
        <w:t>Any approval criteria are not met;</w:t>
      </w:r>
    </w:p>
    <w:p w14:paraId="7F3911AB" w14:textId="77777777" w:rsidR="00371171" w:rsidRPr="00371171" w:rsidRDefault="00371171" w:rsidP="00371171">
      <w:pPr>
        <w:numPr>
          <w:ilvl w:val="1"/>
          <w:numId w:val="26"/>
        </w:numPr>
        <w:rPr>
          <w:rFonts w:cs="Arial"/>
          <w:noProof/>
          <w:szCs w:val="20"/>
        </w:rPr>
      </w:pPr>
      <w:r w:rsidRPr="00371171">
        <w:rPr>
          <w:rFonts w:cs="Arial"/>
          <w:szCs w:val="20"/>
        </w:rPr>
        <w:t xml:space="preserve">Documented diagnosis of cancer; </w:t>
      </w:r>
      <w:r w:rsidRPr="00371171">
        <w:rPr>
          <w:rFonts w:cs="Arial"/>
          <w:b/>
          <w:bCs/>
          <w:szCs w:val="20"/>
        </w:rPr>
        <w:t>OR</w:t>
      </w:r>
    </w:p>
    <w:p w14:paraId="4B67BE30" w14:textId="77777777" w:rsidR="00371171" w:rsidRPr="00371171" w:rsidRDefault="00371171" w:rsidP="00371171">
      <w:pPr>
        <w:numPr>
          <w:ilvl w:val="1"/>
          <w:numId w:val="26"/>
        </w:numPr>
        <w:contextualSpacing/>
        <w:rPr>
          <w:rFonts w:cs="Arial"/>
          <w:noProof/>
          <w:szCs w:val="20"/>
        </w:rPr>
      </w:pPr>
      <w:bookmarkStart w:id="1" w:name="_Hlk34745611"/>
      <w:r w:rsidRPr="00371171">
        <w:rPr>
          <w:rFonts w:cs="Arial"/>
          <w:noProof/>
          <w:szCs w:val="20"/>
        </w:rPr>
        <w:t>Claim exceeds maximum dosing limitation for the following:</w:t>
      </w:r>
    </w:p>
    <w:tbl>
      <w:tblPr>
        <w:tblW w:w="70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070"/>
        <w:gridCol w:w="2430"/>
      </w:tblGrid>
      <w:tr w:rsidR="00371171" w:rsidRPr="00371171" w14:paraId="57F1B433" w14:textId="77777777" w:rsidTr="007505D2">
        <w:tc>
          <w:tcPr>
            <w:tcW w:w="2520" w:type="dxa"/>
            <w:shd w:val="clear" w:color="auto" w:fill="FABF8F" w:themeFill="accent6" w:themeFillTint="99"/>
            <w:vAlign w:val="bottom"/>
          </w:tcPr>
          <w:p w14:paraId="65F81505" w14:textId="77777777" w:rsidR="00371171" w:rsidRPr="00371171" w:rsidRDefault="00371171" w:rsidP="00371171">
            <w:pPr>
              <w:rPr>
                <w:rFonts w:cs="Arial"/>
                <w:szCs w:val="20"/>
              </w:rPr>
            </w:pPr>
            <w:r w:rsidRPr="00371171">
              <w:rPr>
                <w:rFonts w:cs="Arial"/>
                <w:b/>
                <w:szCs w:val="20"/>
              </w:rPr>
              <w:t>Drug Description</w:t>
            </w:r>
          </w:p>
        </w:tc>
        <w:tc>
          <w:tcPr>
            <w:tcW w:w="2070" w:type="dxa"/>
            <w:shd w:val="clear" w:color="auto" w:fill="FABF8F" w:themeFill="accent6" w:themeFillTint="99"/>
            <w:vAlign w:val="bottom"/>
          </w:tcPr>
          <w:p w14:paraId="794B5BFF" w14:textId="77777777" w:rsidR="00371171" w:rsidRPr="00371171" w:rsidRDefault="00371171" w:rsidP="00371171">
            <w:pPr>
              <w:rPr>
                <w:rFonts w:cs="Arial"/>
                <w:szCs w:val="20"/>
              </w:rPr>
            </w:pPr>
            <w:r w:rsidRPr="00371171">
              <w:rPr>
                <w:rFonts w:cs="Arial"/>
                <w:b/>
                <w:szCs w:val="20"/>
              </w:rPr>
              <w:t>Generic Equivalent</w:t>
            </w:r>
          </w:p>
        </w:tc>
        <w:tc>
          <w:tcPr>
            <w:tcW w:w="2430" w:type="dxa"/>
            <w:shd w:val="clear" w:color="auto" w:fill="FABF8F" w:themeFill="accent6" w:themeFillTint="99"/>
          </w:tcPr>
          <w:p w14:paraId="5B153727" w14:textId="77777777" w:rsidR="00371171" w:rsidRPr="00371171" w:rsidRDefault="00371171" w:rsidP="00371171">
            <w:pPr>
              <w:rPr>
                <w:rFonts w:cs="Arial"/>
                <w:b/>
                <w:szCs w:val="20"/>
              </w:rPr>
            </w:pPr>
            <w:r w:rsidRPr="00371171">
              <w:rPr>
                <w:rFonts w:cs="Arial"/>
                <w:b/>
                <w:szCs w:val="20"/>
              </w:rPr>
              <w:t>Max Dosing Limitation</w:t>
            </w:r>
          </w:p>
        </w:tc>
      </w:tr>
      <w:tr w:rsidR="00371171" w:rsidRPr="00371171" w14:paraId="76D1FE9F" w14:textId="77777777" w:rsidTr="007505D2">
        <w:tc>
          <w:tcPr>
            <w:tcW w:w="2520" w:type="dxa"/>
            <w:tcBorders>
              <w:top w:val="single" w:sz="4" w:space="0" w:color="auto"/>
              <w:left w:val="single" w:sz="4" w:space="0" w:color="auto"/>
              <w:bottom w:val="single" w:sz="4" w:space="0" w:color="auto"/>
              <w:right w:val="single" w:sz="4" w:space="0" w:color="auto"/>
            </w:tcBorders>
            <w:vAlign w:val="bottom"/>
          </w:tcPr>
          <w:p w14:paraId="6E9AEAFB" w14:textId="77777777" w:rsidR="00371171" w:rsidRPr="00371171" w:rsidRDefault="00371171" w:rsidP="00371171">
            <w:pPr>
              <w:rPr>
                <w:rFonts w:cs="Arial"/>
                <w:szCs w:val="20"/>
              </w:rPr>
            </w:pPr>
            <w:r w:rsidRPr="00371171">
              <w:rPr>
                <w:rFonts w:cs="Arial"/>
                <w:szCs w:val="20"/>
              </w:rPr>
              <w:t xml:space="preserve">SEROSTIM 4 MG VIAL  </w:t>
            </w:r>
          </w:p>
        </w:tc>
        <w:tc>
          <w:tcPr>
            <w:tcW w:w="2070" w:type="dxa"/>
            <w:tcBorders>
              <w:top w:val="single" w:sz="4" w:space="0" w:color="auto"/>
              <w:left w:val="single" w:sz="4" w:space="0" w:color="auto"/>
              <w:bottom w:val="single" w:sz="4" w:space="0" w:color="auto"/>
              <w:right w:val="single" w:sz="4" w:space="0" w:color="auto"/>
            </w:tcBorders>
            <w:vAlign w:val="bottom"/>
          </w:tcPr>
          <w:p w14:paraId="483592F3" w14:textId="77777777" w:rsidR="00371171" w:rsidRPr="00371171" w:rsidRDefault="00371171" w:rsidP="00371171">
            <w:pPr>
              <w:rPr>
                <w:rFonts w:cs="Arial"/>
                <w:szCs w:val="20"/>
              </w:rPr>
            </w:pPr>
            <w:r w:rsidRPr="00371171">
              <w:rPr>
                <w:rFonts w:cs="Arial"/>
                <w:szCs w:val="20"/>
              </w:rPr>
              <w:t>SOMATROPIN</w:t>
            </w:r>
          </w:p>
        </w:tc>
        <w:tc>
          <w:tcPr>
            <w:tcW w:w="2430" w:type="dxa"/>
            <w:tcBorders>
              <w:top w:val="single" w:sz="4" w:space="0" w:color="auto"/>
              <w:left w:val="single" w:sz="4" w:space="0" w:color="auto"/>
              <w:bottom w:val="single" w:sz="4" w:space="0" w:color="auto"/>
              <w:right w:val="single" w:sz="4" w:space="0" w:color="auto"/>
            </w:tcBorders>
          </w:tcPr>
          <w:p w14:paraId="4A53402E" w14:textId="77777777" w:rsidR="00371171" w:rsidRPr="00371171" w:rsidRDefault="00371171" w:rsidP="00371171">
            <w:pPr>
              <w:rPr>
                <w:rFonts w:cs="Arial"/>
                <w:szCs w:val="20"/>
              </w:rPr>
            </w:pPr>
            <w:r w:rsidRPr="00371171">
              <w:rPr>
                <w:rFonts w:cs="Arial"/>
                <w:szCs w:val="20"/>
              </w:rPr>
              <w:t>1 vial per day</w:t>
            </w:r>
          </w:p>
        </w:tc>
      </w:tr>
      <w:tr w:rsidR="00371171" w:rsidRPr="00371171" w14:paraId="6439FBF1" w14:textId="77777777" w:rsidTr="007505D2">
        <w:tc>
          <w:tcPr>
            <w:tcW w:w="2520" w:type="dxa"/>
            <w:tcBorders>
              <w:top w:val="single" w:sz="4" w:space="0" w:color="auto"/>
              <w:left w:val="single" w:sz="4" w:space="0" w:color="auto"/>
              <w:bottom w:val="single" w:sz="4" w:space="0" w:color="auto"/>
              <w:right w:val="single" w:sz="4" w:space="0" w:color="auto"/>
            </w:tcBorders>
            <w:vAlign w:val="bottom"/>
          </w:tcPr>
          <w:p w14:paraId="712218C3" w14:textId="77777777" w:rsidR="00371171" w:rsidRPr="00371171" w:rsidRDefault="00371171" w:rsidP="00371171">
            <w:pPr>
              <w:rPr>
                <w:rFonts w:cs="Arial"/>
                <w:szCs w:val="20"/>
              </w:rPr>
            </w:pPr>
            <w:r w:rsidRPr="00371171">
              <w:rPr>
                <w:rFonts w:cs="Arial"/>
                <w:szCs w:val="20"/>
              </w:rPr>
              <w:t xml:space="preserve">SEROSTIM 5 MG VIAL            </w:t>
            </w:r>
          </w:p>
        </w:tc>
        <w:tc>
          <w:tcPr>
            <w:tcW w:w="2070" w:type="dxa"/>
            <w:tcBorders>
              <w:top w:val="single" w:sz="4" w:space="0" w:color="auto"/>
              <w:left w:val="single" w:sz="4" w:space="0" w:color="auto"/>
              <w:bottom w:val="single" w:sz="4" w:space="0" w:color="auto"/>
              <w:right w:val="single" w:sz="4" w:space="0" w:color="auto"/>
            </w:tcBorders>
            <w:vAlign w:val="bottom"/>
          </w:tcPr>
          <w:p w14:paraId="441CEC8C" w14:textId="77777777" w:rsidR="00371171" w:rsidRPr="00371171" w:rsidRDefault="00371171" w:rsidP="00371171">
            <w:pPr>
              <w:rPr>
                <w:rFonts w:cs="Arial"/>
                <w:szCs w:val="20"/>
              </w:rPr>
            </w:pPr>
            <w:r w:rsidRPr="00371171">
              <w:rPr>
                <w:rFonts w:cs="Arial"/>
                <w:szCs w:val="20"/>
              </w:rPr>
              <w:t>SOMATROPIN</w:t>
            </w:r>
          </w:p>
        </w:tc>
        <w:tc>
          <w:tcPr>
            <w:tcW w:w="2430" w:type="dxa"/>
            <w:tcBorders>
              <w:top w:val="single" w:sz="4" w:space="0" w:color="auto"/>
              <w:left w:val="single" w:sz="4" w:space="0" w:color="auto"/>
              <w:bottom w:val="single" w:sz="4" w:space="0" w:color="auto"/>
              <w:right w:val="single" w:sz="4" w:space="0" w:color="auto"/>
            </w:tcBorders>
          </w:tcPr>
          <w:p w14:paraId="24AB8C81" w14:textId="77777777" w:rsidR="00371171" w:rsidRPr="00371171" w:rsidRDefault="00371171" w:rsidP="00371171">
            <w:pPr>
              <w:rPr>
                <w:rFonts w:cs="Arial"/>
                <w:szCs w:val="20"/>
              </w:rPr>
            </w:pPr>
            <w:r w:rsidRPr="00371171">
              <w:rPr>
                <w:rFonts w:cs="Arial"/>
                <w:szCs w:val="20"/>
              </w:rPr>
              <w:t>1 vial per day</w:t>
            </w:r>
          </w:p>
        </w:tc>
      </w:tr>
      <w:tr w:rsidR="00371171" w:rsidRPr="00371171" w14:paraId="44BFBBF5" w14:textId="77777777" w:rsidTr="007505D2">
        <w:tc>
          <w:tcPr>
            <w:tcW w:w="2520" w:type="dxa"/>
            <w:tcBorders>
              <w:top w:val="single" w:sz="4" w:space="0" w:color="auto"/>
              <w:left w:val="single" w:sz="4" w:space="0" w:color="auto"/>
              <w:bottom w:val="single" w:sz="4" w:space="0" w:color="auto"/>
              <w:right w:val="single" w:sz="4" w:space="0" w:color="auto"/>
            </w:tcBorders>
            <w:vAlign w:val="bottom"/>
          </w:tcPr>
          <w:p w14:paraId="1F83268B" w14:textId="77777777" w:rsidR="00371171" w:rsidRPr="00371171" w:rsidRDefault="00371171" w:rsidP="00371171">
            <w:pPr>
              <w:rPr>
                <w:rFonts w:cs="Arial"/>
                <w:szCs w:val="20"/>
              </w:rPr>
            </w:pPr>
            <w:r w:rsidRPr="00371171">
              <w:rPr>
                <w:rFonts w:cs="Arial"/>
                <w:szCs w:val="20"/>
              </w:rPr>
              <w:t>SEROSTIM 6 MG VIAL</w:t>
            </w:r>
          </w:p>
        </w:tc>
        <w:tc>
          <w:tcPr>
            <w:tcW w:w="2070" w:type="dxa"/>
            <w:tcBorders>
              <w:top w:val="single" w:sz="4" w:space="0" w:color="auto"/>
              <w:left w:val="single" w:sz="4" w:space="0" w:color="auto"/>
              <w:bottom w:val="single" w:sz="4" w:space="0" w:color="auto"/>
              <w:right w:val="single" w:sz="4" w:space="0" w:color="auto"/>
            </w:tcBorders>
            <w:vAlign w:val="bottom"/>
          </w:tcPr>
          <w:p w14:paraId="056A5BBF" w14:textId="77777777" w:rsidR="00371171" w:rsidRPr="00371171" w:rsidRDefault="00371171" w:rsidP="00371171">
            <w:pPr>
              <w:rPr>
                <w:rFonts w:cs="Arial"/>
                <w:szCs w:val="20"/>
              </w:rPr>
            </w:pPr>
            <w:r w:rsidRPr="00371171">
              <w:rPr>
                <w:rFonts w:cs="Arial"/>
                <w:szCs w:val="20"/>
              </w:rPr>
              <w:t>SOMATROPIN</w:t>
            </w:r>
          </w:p>
        </w:tc>
        <w:tc>
          <w:tcPr>
            <w:tcW w:w="2430" w:type="dxa"/>
            <w:tcBorders>
              <w:top w:val="single" w:sz="4" w:space="0" w:color="auto"/>
              <w:left w:val="single" w:sz="4" w:space="0" w:color="auto"/>
              <w:bottom w:val="single" w:sz="4" w:space="0" w:color="auto"/>
              <w:right w:val="single" w:sz="4" w:space="0" w:color="auto"/>
            </w:tcBorders>
          </w:tcPr>
          <w:p w14:paraId="5C4E592B" w14:textId="77777777" w:rsidR="00371171" w:rsidRPr="00371171" w:rsidRDefault="00371171" w:rsidP="00371171">
            <w:pPr>
              <w:rPr>
                <w:rFonts w:cs="Arial"/>
                <w:szCs w:val="20"/>
              </w:rPr>
            </w:pPr>
            <w:r w:rsidRPr="00371171">
              <w:rPr>
                <w:rFonts w:cs="Arial"/>
                <w:szCs w:val="20"/>
              </w:rPr>
              <w:t>1 vial per day</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61B4A196" w14:textId="77777777" w:rsidR="0074067D" w:rsidRPr="0074067D" w:rsidRDefault="00343D6B" w:rsidP="0074067D">
      <w:pPr>
        <w:rPr>
          <w:rFonts w:cs="Arial"/>
          <w:szCs w:val="20"/>
        </w:rPr>
      </w:pPr>
      <w:r w:rsidRPr="00696E3A">
        <w:rPr>
          <w:b/>
          <w:bCs/>
        </w:rPr>
        <w:t>Default Approval Period:</w:t>
      </w:r>
      <w:r w:rsidR="00973BD6">
        <w:t xml:space="preserve"> </w:t>
      </w:r>
      <w:r w:rsidR="0074067D" w:rsidRPr="0074067D">
        <w:rPr>
          <w:rFonts w:cs="Arial"/>
          <w:szCs w:val="20"/>
        </w:rPr>
        <w:t>12 months</w:t>
      </w:r>
    </w:p>
    <w:p w14:paraId="6649BF8C" w14:textId="69A7E868"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5081D64A" w14:textId="77777777" w:rsidR="00FD4B9E" w:rsidRPr="00FD4B9E" w:rsidRDefault="00FD4B9E" w:rsidP="00FD4B9E">
      <w:pPr>
        <w:numPr>
          <w:ilvl w:val="0"/>
          <w:numId w:val="27"/>
        </w:numPr>
        <w:rPr>
          <w:rFonts w:eastAsia="Arial" w:cs="Arial"/>
          <w:szCs w:val="20"/>
        </w:rPr>
      </w:pPr>
      <w:r w:rsidRPr="00FD4B9E">
        <w:rPr>
          <w:rFonts w:eastAsia="Arial" w:cs="Arial"/>
          <w:szCs w:val="20"/>
        </w:rPr>
        <w:t>Evidence-Based Medicine and Fiscal Analysis: “Therapeutic Class Review: Somatropin Agents”, Gainwell Technologies; Last updated May 7, 2024.</w:t>
      </w:r>
    </w:p>
    <w:p w14:paraId="2006B1DF" w14:textId="77777777" w:rsidR="00FD4B9E" w:rsidRPr="00FD4B9E" w:rsidRDefault="00FD4B9E" w:rsidP="00FD4B9E">
      <w:pPr>
        <w:numPr>
          <w:ilvl w:val="0"/>
          <w:numId w:val="27"/>
        </w:numPr>
        <w:contextualSpacing/>
        <w:rPr>
          <w:rFonts w:eastAsia="Arial" w:cs="Arial"/>
          <w:szCs w:val="20"/>
        </w:rPr>
      </w:pPr>
      <w:r w:rsidRPr="00FD4B9E">
        <w:rPr>
          <w:rFonts w:eastAsia="Arial" w:cs="Arial"/>
          <w:szCs w:val="20"/>
        </w:rPr>
        <w:lastRenderedPageBreak/>
        <w:t>Evidence-Based Medicine Analysis: “Growth Hormones and Growth Factors”, UMKC-DIC; January 2025.</w:t>
      </w:r>
    </w:p>
    <w:p w14:paraId="3BE27B73" w14:textId="77777777" w:rsidR="00FD4B9E" w:rsidRPr="00FD4B9E" w:rsidRDefault="00FD4B9E" w:rsidP="00FD4B9E">
      <w:pPr>
        <w:numPr>
          <w:ilvl w:val="0"/>
          <w:numId w:val="27"/>
        </w:numPr>
        <w:contextualSpacing/>
        <w:rPr>
          <w:rFonts w:eastAsia="Arial" w:cs="Arial"/>
          <w:color w:val="000000" w:themeColor="text1"/>
          <w:szCs w:val="20"/>
        </w:rPr>
      </w:pPr>
      <w:r w:rsidRPr="00FD4B9E">
        <w:rPr>
          <w:rFonts w:eastAsia="Arial" w:cs="Arial"/>
          <w:color w:val="000000" w:themeColor="text1"/>
          <w:szCs w:val="20"/>
        </w:rPr>
        <w:t xml:space="preserve">Collett-Solberg PF, Ambler G, Backeljauw PF, et al. Diagnosis, Genetics, and Therapy of Short Stature in Children: A Growth Hormone Research Society International Perspective. </w:t>
      </w:r>
      <w:r w:rsidRPr="00FD4B9E">
        <w:rPr>
          <w:rFonts w:eastAsia="Arial" w:cs="Arial"/>
          <w:i/>
          <w:iCs/>
          <w:color w:val="000000" w:themeColor="text1"/>
          <w:szCs w:val="20"/>
        </w:rPr>
        <w:t>Horm Res Paediatr</w:t>
      </w:r>
      <w:r w:rsidRPr="00FD4B9E">
        <w:rPr>
          <w:rFonts w:eastAsia="Arial" w:cs="Arial"/>
          <w:color w:val="000000" w:themeColor="text1"/>
          <w:szCs w:val="20"/>
        </w:rPr>
        <w:t>. 2019;92(1):1-14. doi:10.1159/000502231</w:t>
      </w:r>
    </w:p>
    <w:p w14:paraId="7AA6B088" w14:textId="77777777" w:rsidR="00FD4B9E" w:rsidRPr="00FD4B9E" w:rsidRDefault="00FD4B9E" w:rsidP="00FD4B9E">
      <w:pPr>
        <w:numPr>
          <w:ilvl w:val="0"/>
          <w:numId w:val="27"/>
        </w:numPr>
        <w:contextualSpacing/>
        <w:rPr>
          <w:rFonts w:eastAsia="Arial" w:cs="Arial"/>
          <w:color w:val="000000" w:themeColor="text1"/>
          <w:szCs w:val="20"/>
        </w:rPr>
      </w:pPr>
      <w:r w:rsidRPr="00FD4B9E">
        <w:rPr>
          <w:rFonts w:eastAsia="Arial" w:cs="Arial"/>
          <w:szCs w:val="20"/>
        </w:rPr>
        <w:t xml:space="preserve">Grimberg A., DiVall S., Polychronakos C., et al (2016). Guidelines for Growth Hormones and Insulin-like Growth Factor Treatment in Children and Adolescents: Growth Hormones Deficiency, Idiopathic Short Stature, and Primary Insulin-like Growth Factor-I Deficiency. </w:t>
      </w:r>
      <w:r w:rsidRPr="00FD4B9E">
        <w:rPr>
          <w:rFonts w:eastAsia="Arial" w:cs="Arial"/>
          <w:i/>
          <w:iCs/>
          <w:szCs w:val="20"/>
        </w:rPr>
        <w:t>Hormone Research in Paediatrics</w:t>
      </w:r>
      <w:r w:rsidRPr="00FD4B9E">
        <w:rPr>
          <w:rFonts w:eastAsia="Arial" w:cs="Arial"/>
          <w:szCs w:val="20"/>
        </w:rPr>
        <w:t>; 2016;</w:t>
      </w:r>
      <w:r w:rsidRPr="00FD4B9E">
        <w:rPr>
          <w:rFonts w:eastAsia="Arial" w:cs="Arial"/>
          <w:color w:val="000000" w:themeColor="text1"/>
          <w:szCs w:val="20"/>
        </w:rPr>
        <w:t>86(6):361-397. doi: 10.1159/000452150.</w:t>
      </w:r>
    </w:p>
    <w:p w14:paraId="67CF55BA" w14:textId="77777777" w:rsidR="00FD4B9E" w:rsidRPr="00FD4B9E" w:rsidRDefault="00FD4B9E" w:rsidP="00FD4B9E">
      <w:pPr>
        <w:numPr>
          <w:ilvl w:val="0"/>
          <w:numId w:val="27"/>
        </w:numPr>
        <w:contextualSpacing/>
        <w:rPr>
          <w:rFonts w:eastAsia="Arial" w:cs="Arial"/>
          <w:szCs w:val="20"/>
        </w:rPr>
      </w:pPr>
      <w:r w:rsidRPr="00FD4B9E">
        <w:rPr>
          <w:rFonts w:eastAsia="Arial" w:cs="Arial"/>
          <w:szCs w:val="20"/>
        </w:rPr>
        <w:t>Zegher F, Hokken-Koelega A. Growth hormone therapy for children born small for gestational age: height gain is less dose dependent over the long term than over the short term. Pediatrics. 2005;115(4):e458-e462. doi:10.1542/peds.2004-1934.</w:t>
      </w:r>
    </w:p>
    <w:p w14:paraId="1818B862" w14:textId="77777777" w:rsidR="00FD4B9E" w:rsidRPr="00FD4B9E" w:rsidRDefault="00FD4B9E" w:rsidP="00FD4B9E">
      <w:pPr>
        <w:numPr>
          <w:ilvl w:val="0"/>
          <w:numId w:val="27"/>
        </w:numPr>
        <w:contextualSpacing/>
        <w:rPr>
          <w:rFonts w:eastAsia="Arial" w:cs="Arial"/>
          <w:color w:val="000000" w:themeColor="text1"/>
          <w:szCs w:val="20"/>
        </w:rPr>
      </w:pPr>
      <w:r w:rsidRPr="00FD4B9E">
        <w:rPr>
          <w:rFonts w:eastAsia="Arial" w:cs="Arial"/>
          <w:szCs w:val="20"/>
        </w:rPr>
        <w:t xml:space="preserve">Cook D., Rose S. A review of guidelines for use of growth hormone in pediatric and transition patients. </w:t>
      </w:r>
      <w:r w:rsidRPr="00FD4B9E">
        <w:rPr>
          <w:rFonts w:eastAsia="Arial" w:cs="Arial"/>
          <w:i/>
          <w:iCs/>
          <w:szCs w:val="20"/>
        </w:rPr>
        <w:t xml:space="preserve">Pituitary, </w:t>
      </w:r>
      <w:r w:rsidRPr="00FD4B9E">
        <w:rPr>
          <w:rFonts w:eastAsia="Arial" w:cs="Arial"/>
          <w:szCs w:val="20"/>
        </w:rPr>
        <w:t>2012;</w:t>
      </w:r>
      <w:r w:rsidRPr="00FD4B9E">
        <w:rPr>
          <w:rFonts w:eastAsia="Arial" w:cs="Arial"/>
          <w:color w:val="000000" w:themeColor="text1"/>
          <w:szCs w:val="20"/>
        </w:rPr>
        <w:t>15(3):301-10. doi: 10.1007/s11102-011-0372-6.</w:t>
      </w:r>
    </w:p>
    <w:p w14:paraId="07664C17" w14:textId="77777777" w:rsidR="00FD4B9E" w:rsidRPr="00FD4B9E" w:rsidRDefault="00FD4B9E" w:rsidP="00FD4B9E">
      <w:pPr>
        <w:numPr>
          <w:ilvl w:val="0"/>
          <w:numId w:val="27"/>
        </w:numPr>
        <w:contextualSpacing/>
        <w:rPr>
          <w:rFonts w:eastAsia="Arial" w:cs="Arial"/>
          <w:szCs w:val="20"/>
        </w:rPr>
      </w:pPr>
      <w:r w:rsidRPr="00FD4B9E">
        <w:rPr>
          <w:rFonts w:eastAsia="Arial" w:cs="Arial"/>
          <w:color w:val="000000" w:themeColor="text1"/>
          <w:szCs w:val="20"/>
        </w:rPr>
        <w:t xml:space="preserve">Deal C., Tony M., Hoybye C., et al (2013). Growth Hormone Research Society Workshop Summary: Consensus Guidelines for Recombinant Human Growth Hormone Therapy in Prader-Willi Syndrome. </w:t>
      </w:r>
      <w:r w:rsidRPr="00FD4B9E">
        <w:rPr>
          <w:rFonts w:eastAsia="Arial" w:cs="Arial"/>
          <w:i/>
          <w:iCs/>
          <w:color w:val="000000" w:themeColor="text1"/>
          <w:szCs w:val="20"/>
        </w:rPr>
        <w:t>The</w:t>
      </w:r>
      <w:r w:rsidRPr="00FD4B9E">
        <w:rPr>
          <w:rFonts w:eastAsia="Arial" w:cs="Arial"/>
          <w:color w:val="000000" w:themeColor="text1"/>
          <w:szCs w:val="20"/>
        </w:rPr>
        <w:t xml:space="preserve"> </w:t>
      </w:r>
      <w:r w:rsidRPr="00FD4B9E">
        <w:rPr>
          <w:rFonts w:eastAsia="Arial" w:cs="Arial"/>
          <w:i/>
          <w:iCs/>
          <w:color w:val="000000" w:themeColor="text1"/>
          <w:szCs w:val="20"/>
        </w:rPr>
        <w:t>Journal of Clinical Endocrinology &amp; Metabolism</w:t>
      </w:r>
      <w:r w:rsidRPr="00FD4B9E">
        <w:rPr>
          <w:rFonts w:eastAsia="Arial" w:cs="Arial"/>
          <w:color w:val="000000" w:themeColor="text1"/>
          <w:szCs w:val="20"/>
        </w:rPr>
        <w:t>; 2013;98(6): E1072-E1087. doi: 10.1210/jc.2012-3888</w:t>
      </w:r>
      <w:r w:rsidRPr="00FD4B9E">
        <w:rPr>
          <w:rFonts w:eastAsia="Arial" w:cs="Arial"/>
          <w:szCs w:val="20"/>
        </w:rPr>
        <w:t>.</w:t>
      </w:r>
    </w:p>
    <w:p w14:paraId="7A81C294" w14:textId="4DDFBFBD" w:rsidR="00FD4B9E" w:rsidRPr="00FD4B9E" w:rsidRDefault="00FD4B9E" w:rsidP="00FD4B9E">
      <w:pPr>
        <w:numPr>
          <w:ilvl w:val="0"/>
          <w:numId w:val="27"/>
        </w:numPr>
        <w:rPr>
          <w:rFonts w:cs="Arial"/>
        </w:rPr>
      </w:pPr>
      <w:r w:rsidRPr="00FD4B9E">
        <w:rPr>
          <w:rFonts w:cs="Arial"/>
          <w:szCs w:val="20"/>
        </w:rPr>
        <w:t>USPDI, Micromedex; 202</w:t>
      </w:r>
      <w:r w:rsidR="00F24A3C">
        <w:rPr>
          <w:rFonts w:cs="Arial"/>
          <w:szCs w:val="20"/>
        </w:rPr>
        <w:t>6</w:t>
      </w:r>
      <w:r w:rsidRPr="00FD4B9E">
        <w:rPr>
          <w:rFonts w:cs="Arial"/>
          <w:szCs w:val="20"/>
        </w:rPr>
        <w:t xml:space="preserve">. </w:t>
      </w:r>
    </w:p>
    <w:p w14:paraId="5F1298C2" w14:textId="400B8B9C" w:rsidR="00FD4B9E" w:rsidRPr="00FD4B9E" w:rsidRDefault="00FD4B9E" w:rsidP="00FD4B9E">
      <w:pPr>
        <w:numPr>
          <w:ilvl w:val="0"/>
          <w:numId w:val="27"/>
        </w:numPr>
        <w:rPr>
          <w:rFonts w:cs="Arial"/>
          <w:szCs w:val="20"/>
        </w:rPr>
      </w:pPr>
      <w:r w:rsidRPr="00FD4B9E">
        <w:rPr>
          <w:rFonts w:cs="Arial"/>
          <w:szCs w:val="20"/>
        </w:rPr>
        <w:t>Facts and Comparisons eAnswers (online); 202</w:t>
      </w:r>
      <w:r w:rsidR="007D1818">
        <w:rPr>
          <w:rFonts w:cs="Arial"/>
          <w:szCs w:val="20"/>
        </w:rPr>
        <w:t>6</w:t>
      </w:r>
      <w:r w:rsidRPr="00FD4B9E">
        <w:rPr>
          <w:rFonts w:cs="Arial"/>
          <w:szCs w:val="20"/>
        </w:rPr>
        <w:t xml:space="preserve"> Clinical Drug Information, LLC.</w:t>
      </w:r>
    </w:p>
    <w:p w14:paraId="3FA1E7DB" w14:textId="6B8B0D15" w:rsidR="00777CA4" w:rsidRDefault="00777CA4" w:rsidP="00FD4B9E">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A2DC" w14:textId="77777777" w:rsidR="002E12E6" w:rsidRPr="00C02553" w:rsidRDefault="002E12E6" w:rsidP="00AE77DB">
      <w:r w:rsidRPr="00C02553">
        <w:separator/>
      </w:r>
    </w:p>
  </w:endnote>
  <w:endnote w:type="continuationSeparator" w:id="0">
    <w:p w14:paraId="6D3D923B" w14:textId="77777777" w:rsidR="002E12E6" w:rsidRPr="00C02553" w:rsidRDefault="002E12E6" w:rsidP="00AE77DB">
      <w:r w:rsidRPr="00C02553">
        <w:continuationSeparator/>
      </w:r>
    </w:p>
  </w:endnote>
  <w:endnote w:type="continuationNotice" w:id="1">
    <w:p w14:paraId="562052FB" w14:textId="77777777" w:rsidR="002E12E6" w:rsidRPr="00C02553" w:rsidRDefault="002E12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26C5" w14:textId="77777777" w:rsidR="002E12E6" w:rsidRPr="00C02553" w:rsidRDefault="002E12E6" w:rsidP="00AE77DB">
      <w:r w:rsidRPr="00C02553">
        <w:separator/>
      </w:r>
    </w:p>
  </w:footnote>
  <w:footnote w:type="continuationSeparator" w:id="0">
    <w:p w14:paraId="7CA43DDD" w14:textId="77777777" w:rsidR="002E12E6" w:rsidRPr="00C02553" w:rsidRDefault="002E12E6" w:rsidP="00AE77DB">
      <w:r w:rsidRPr="00C02553">
        <w:continuationSeparator/>
      </w:r>
    </w:p>
  </w:footnote>
  <w:footnote w:type="continuationNotice" w:id="1">
    <w:p w14:paraId="736B6280" w14:textId="77777777" w:rsidR="002E12E6" w:rsidRPr="00C02553" w:rsidRDefault="002E12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820AE5">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820AE5">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820AE5">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3E652F"/>
    <w:multiLevelType w:val="hybridMultilevel"/>
    <w:tmpl w:val="60EEE52A"/>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8D40C3"/>
    <w:multiLevelType w:val="multilevel"/>
    <w:tmpl w:val="E1A2A51C"/>
    <w:numStyleLink w:val="References"/>
  </w:abstractNum>
  <w:abstractNum w:abstractNumId="6" w15:restartNumberingAfterBreak="0">
    <w:nsid w:val="07736496"/>
    <w:multiLevelType w:val="hybridMultilevel"/>
    <w:tmpl w:val="A2B473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D1C09"/>
    <w:multiLevelType w:val="hybridMultilevel"/>
    <w:tmpl w:val="F5A45F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B101AB"/>
    <w:multiLevelType w:val="hybridMultilevel"/>
    <w:tmpl w:val="C130F6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4234AE"/>
    <w:multiLevelType w:val="hybridMultilevel"/>
    <w:tmpl w:val="8396B07A"/>
    <w:lvl w:ilvl="0" w:tplc="04090001">
      <w:start w:val="1"/>
      <w:numFmt w:val="bullet"/>
      <w:lvlText w:val=""/>
      <w:lvlJc w:val="left"/>
      <w:pPr>
        <w:ind w:left="144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4B0A34"/>
    <w:multiLevelType w:val="hybridMultilevel"/>
    <w:tmpl w:val="2DF6AE94"/>
    <w:lvl w:ilvl="0" w:tplc="04090005">
      <w:start w:val="1"/>
      <w:numFmt w:val="bullet"/>
      <w:lvlText w:val=""/>
      <w:lvlJc w:val="left"/>
      <w:pPr>
        <w:ind w:left="108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A2788"/>
    <w:multiLevelType w:val="hybridMultilevel"/>
    <w:tmpl w:val="E21CC756"/>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4B2874"/>
    <w:multiLevelType w:val="hybridMultilevel"/>
    <w:tmpl w:val="D05E6658"/>
    <w:lvl w:ilvl="0" w:tplc="FFFFFFFF">
      <w:start w:val="1"/>
      <w:numFmt w:val="bullet"/>
      <w:lvlText w:val=""/>
      <w:lvlJc w:val="left"/>
      <w:pPr>
        <w:ind w:left="1440" w:hanging="360"/>
      </w:pPr>
      <w:rPr>
        <w:rFonts w:ascii="Symbol" w:hAnsi="Symbol" w:hint="default"/>
      </w:rPr>
    </w:lvl>
    <w:lvl w:ilvl="1" w:tplc="DC204A14">
      <w:start w:val="1"/>
      <w:numFmt w:val="bullet"/>
      <w:lvlText w:val="o"/>
      <w:lvlJc w:val="left"/>
      <w:pPr>
        <w:ind w:left="1800" w:hanging="360"/>
      </w:pPr>
      <w:rPr>
        <w:rFonts w:ascii="Courier New" w:hAnsi="Courier New" w:cs="Courier New" w:hint="default"/>
        <w:color w:val="auto"/>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7BA07AC"/>
    <w:multiLevelType w:val="hybridMultilevel"/>
    <w:tmpl w:val="FE6C0EC2"/>
    <w:lvl w:ilvl="0" w:tplc="ADBEF6AE">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A85C40"/>
    <w:multiLevelType w:val="hybridMultilevel"/>
    <w:tmpl w:val="09C2C5F2"/>
    <w:lvl w:ilvl="0" w:tplc="04090005">
      <w:start w:val="1"/>
      <w:numFmt w:val="bullet"/>
      <w:lvlText w:val=""/>
      <w:lvlJc w:val="left"/>
      <w:pPr>
        <w:ind w:left="1080" w:hanging="360"/>
      </w:pPr>
      <w:rPr>
        <w:rFonts w:ascii="Wingdings" w:hAnsi="Wingdings" w:hint="default"/>
      </w:rPr>
    </w:lvl>
    <w:lvl w:ilvl="1" w:tplc="62548A7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AB37B0"/>
    <w:multiLevelType w:val="hybridMultilevel"/>
    <w:tmpl w:val="803C0D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3A0C49"/>
    <w:multiLevelType w:val="hybridMultilevel"/>
    <w:tmpl w:val="2188AE0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1E7A67"/>
    <w:multiLevelType w:val="hybridMultilevel"/>
    <w:tmpl w:val="C28875D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7"/>
  </w:num>
  <w:num w:numId="3" w16cid:durableId="1729067566">
    <w:abstractNumId w:val="5"/>
  </w:num>
  <w:num w:numId="4" w16cid:durableId="320159068">
    <w:abstractNumId w:val="13"/>
  </w:num>
  <w:num w:numId="5" w16cid:durableId="1769498754">
    <w:abstractNumId w:val="4"/>
  </w:num>
  <w:num w:numId="6" w16cid:durableId="1094596320">
    <w:abstractNumId w:val="24"/>
  </w:num>
  <w:num w:numId="7" w16cid:durableId="2110008555">
    <w:abstractNumId w:val="2"/>
  </w:num>
  <w:num w:numId="8" w16cid:durableId="489712751">
    <w:abstractNumId w:val="11"/>
  </w:num>
  <w:num w:numId="9" w16cid:durableId="1085147965">
    <w:abstractNumId w:val="18"/>
  </w:num>
  <w:num w:numId="10" w16cid:durableId="917518096">
    <w:abstractNumId w:val="14"/>
  </w:num>
  <w:num w:numId="11" w16cid:durableId="1894998475">
    <w:abstractNumId w:val="1"/>
  </w:num>
  <w:num w:numId="12" w16cid:durableId="1418215296">
    <w:abstractNumId w:val="25"/>
  </w:num>
  <w:num w:numId="13" w16cid:durableId="604729665">
    <w:abstractNumId w:val="9"/>
  </w:num>
  <w:num w:numId="14" w16cid:durableId="1805081292">
    <w:abstractNumId w:val="21"/>
  </w:num>
  <w:num w:numId="15" w16cid:durableId="1276518432">
    <w:abstractNumId w:val="15"/>
  </w:num>
  <w:num w:numId="16" w16cid:durableId="754521697">
    <w:abstractNumId w:val="7"/>
  </w:num>
  <w:num w:numId="17" w16cid:durableId="109592891">
    <w:abstractNumId w:val="22"/>
  </w:num>
  <w:num w:numId="18" w16cid:durableId="1057239944">
    <w:abstractNumId w:val="17"/>
  </w:num>
  <w:num w:numId="19" w16cid:durableId="976111372">
    <w:abstractNumId w:val="12"/>
  </w:num>
  <w:num w:numId="20" w16cid:durableId="1169636687">
    <w:abstractNumId w:val="10"/>
  </w:num>
  <w:num w:numId="21" w16cid:durableId="1194687078">
    <w:abstractNumId w:val="19"/>
  </w:num>
  <w:num w:numId="22" w16cid:durableId="1653289102">
    <w:abstractNumId w:val="8"/>
  </w:num>
  <w:num w:numId="23" w16cid:durableId="541555237">
    <w:abstractNumId w:val="16"/>
  </w:num>
  <w:num w:numId="24" w16cid:durableId="1855919842">
    <w:abstractNumId w:val="6"/>
  </w:num>
  <w:num w:numId="25" w16cid:durableId="1082524504">
    <w:abstractNumId w:val="26"/>
  </w:num>
  <w:num w:numId="26" w16cid:durableId="1415735822">
    <w:abstractNumId w:val="20"/>
  </w:num>
  <w:num w:numId="27" w16cid:durableId="779492852">
    <w:abstractNumId w:val="23"/>
  </w:num>
  <w:num w:numId="28" w16cid:durableId="199263150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WwhaCS1jihYw8pKNEPZmOnWx78wo7GeDR313IwPrhQ+lfLnVLGGm1tYP4JvRQEn0xsigLHGQ+9N7NUcbCBxS/w==" w:salt="01tNBBOF1kOPcY/oe03JN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28E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1CC"/>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2BDC"/>
    <w:rsid w:val="001F5954"/>
    <w:rsid w:val="00202DD3"/>
    <w:rsid w:val="00206E7D"/>
    <w:rsid w:val="00217E14"/>
    <w:rsid w:val="00217EFD"/>
    <w:rsid w:val="00222134"/>
    <w:rsid w:val="00222161"/>
    <w:rsid w:val="0022233F"/>
    <w:rsid w:val="00226275"/>
    <w:rsid w:val="00246564"/>
    <w:rsid w:val="00246A3B"/>
    <w:rsid w:val="00255404"/>
    <w:rsid w:val="0025594F"/>
    <w:rsid w:val="00270C5E"/>
    <w:rsid w:val="00290A03"/>
    <w:rsid w:val="0029159A"/>
    <w:rsid w:val="00291600"/>
    <w:rsid w:val="002A02F4"/>
    <w:rsid w:val="002C2C41"/>
    <w:rsid w:val="002C62E7"/>
    <w:rsid w:val="002D3694"/>
    <w:rsid w:val="002E05E2"/>
    <w:rsid w:val="002E12E6"/>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373E6"/>
    <w:rsid w:val="00343D6B"/>
    <w:rsid w:val="00347FB5"/>
    <w:rsid w:val="00355515"/>
    <w:rsid w:val="003608B5"/>
    <w:rsid w:val="003613AF"/>
    <w:rsid w:val="003663B5"/>
    <w:rsid w:val="00371171"/>
    <w:rsid w:val="003878C1"/>
    <w:rsid w:val="00396C0B"/>
    <w:rsid w:val="003A211F"/>
    <w:rsid w:val="003A6233"/>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4BB4"/>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C81"/>
    <w:rsid w:val="00501DE3"/>
    <w:rsid w:val="005058CB"/>
    <w:rsid w:val="0051044D"/>
    <w:rsid w:val="005139E4"/>
    <w:rsid w:val="00515075"/>
    <w:rsid w:val="00520FE9"/>
    <w:rsid w:val="005233E7"/>
    <w:rsid w:val="005328B2"/>
    <w:rsid w:val="00535BD5"/>
    <w:rsid w:val="00537AC0"/>
    <w:rsid w:val="00540977"/>
    <w:rsid w:val="00551668"/>
    <w:rsid w:val="0055358F"/>
    <w:rsid w:val="005572D5"/>
    <w:rsid w:val="00566BE4"/>
    <w:rsid w:val="00570512"/>
    <w:rsid w:val="00570D21"/>
    <w:rsid w:val="00573856"/>
    <w:rsid w:val="00576113"/>
    <w:rsid w:val="00590652"/>
    <w:rsid w:val="0059235F"/>
    <w:rsid w:val="00596936"/>
    <w:rsid w:val="005A0BF6"/>
    <w:rsid w:val="005A2F1E"/>
    <w:rsid w:val="005A4232"/>
    <w:rsid w:val="005B168B"/>
    <w:rsid w:val="005C3616"/>
    <w:rsid w:val="005D36B2"/>
    <w:rsid w:val="005D52E7"/>
    <w:rsid w:val="005D78B5"/>
    <w:rsid w:val="005E1AFF"/>
    <w:rsid w:val="005E3572"/>
    <w:rsid w:val="005E45E4"/>
    <w:rsid w:val="005F0A81"/>
    <w:rsid w:val="005F0FCF"/>
    <w:rsid w:val="005F4716"/>
    <w:rsid w:val="005F6B91"/>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855D3"/>
    <w:rsid w:val="00693152"/>
    <w:rsid w:val="00694FAE"/>
    <w:rsid w:val="00696E3A"/>
    <w:rsid w:val="006977A6"/>
    <w:rsid w:val="006A0834"/>
    <w:rsid w:val="006A4BBD"/>
    <w:rsid w:val="006A52F1"/>
    <w:rsid w:val="006B262F"/>
    <w:rsid w:val="006B561D"/>
    <w:rsid w:val="006B6D5D"/>
    <w:rsid w:val="006D2330"/>
    <w:rsid w:val="006E0F8B"/>
    <w:rsid w:val="006E12F7"/>
    <w:rsid w:val="006E29D7"/>
    <w:rsid w:val="006F7775"/>
    <w:rsid w:val="00705B8D"/>
    <w:rsid w:val="007068A4"/>
    <w:rsid w:val="00706D67"/>
    <w:rsid w:val="00713052"/>
    <w:rsid w:val="00721367"/>
    <w:rsid w:val="007231FA"/>
    <w:rsid w:val="00732C67"/>
    <w:rsid w:val="00734418"/>
    <w:rsid w:val="0074067D"/>
    <w:rsid w:val="0074235B"/>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05DB"/>
    <w:rsid w:val="007D1818"/>
    <w:rsid w:val="007D2920"/>
    <w:rsid w:val="007D42DD"/>
    <w:rsid w:val="007E6A37"/>
    <w:rsid w:val="007F1774"/>
    <w:rsid w:val="007F6915"/>
    <w:rsid w:val="00811A70"/>
    <w:rsid w:val="0081406E"/>
    <w:rsid w:val="00820AE5"/>
    <w:rsid w:val="00832211"/>
    <w:rsid w:val="008325F4"/>
    <w:rsid w:val="00832AC8"/>
    <w:rsid w:val="00844981"/>
    <w:rsid w:val="00846FA4"/>
    <w:rsid w:val="008524BA"/>
    <w:rsid w:val="00852B74"/>
    <w:rsid w:val="00856928"/>
    <w:rsid w:val="00865538"/>
    <w:rsid w:val="00870875"/>
    <w:rsid w:val="0088225C"/>
    <w:rsid w:val="00883D8C"/>
    <w:rsid w:val="00884026"/>
    <w:rsid w:val="00884C78"/>
    <w:rsid w:val="008859E1"/>
    <w:rsid w:val="00896264"/>
    <w:rsid w:val="008A052D"/>
    <w:rsid w:val="008A5D88"/>
    <w:rsid w:val="008B2851"/>
    <w:rsid w:val="008C000E"/>
    <w:rsid w:val="008D0F2F"/>
    <w:rsid w:val="008D237F"/>
    <w:rsid w:val="008D6B05"/>
    <w:rsid w:val="008D79AA"/>
    <w:rsid w:val="008E7D2D"/>
    <w:rsid w:val="008F44C0"/>
    <w:rsid w:val="008F5999"/>
    <w:rsid w:val="00903AD6"/>
    <w:rsid w:val="00904D7A"/>
    <w:rsid w:val="00915332"/>
    <w:rsid w:val="009204BB"/>
    <w:rsid w:val="009208DC"/>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0BC"/>
    <w:rsid w:val="009A0FB1"/>
    <w:rsid w:val="009A1FAC"/>
    <w:rsid w:val="009A2308"/>
    <w:rsid w:val="009B001A"/>
    <w:rsid w:val="009B1A62"/>
    <w:rsid w:val="009C295B"/>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C5C"/>
    <w:rsid w:val="00A56F18"/>
    <w:rsid w:val="00A628F8"/>
    <w:rsid w:val="00A62BAA"/>
    <w:rsid w:val="00A66172"/>
    <w:rsid w:val="00A744C3"/>
    <w:rsid w:val="00A944C5"/>
    <w:rsid w:val="00AA70AB"/>
    <w:rsid w:val="00AB0B9F"/>
    <w:rsid w:val="00AB1713"/>
    <w:rsid w:val="00AB63BE"/>
    <w:rsid w:val="00AC1EBC"/>
    <w:rsid w:val="00AC2599"/>
    <w:rsid w:val="00AC2DE9"/>
    <w:rsid w:val="00AD0F62"/>
    <w:rsid w:val="00AD2C5F"/>
    <w:rsid w:val="00AE1481"/>
    <w:rsid w:val="00AE27F9"/>
    <w:rsid w:val="00AE3473"/>
    <w:rsid w:val="00AE77DB"/>
    <w:rsid w:val="00AF46A2"/>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0D5C"/>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44A41"/>
    <w:rsid w:val="00C56B1F"/>
    <w:rsid w:val="00C61B52"/>
    <w:rsid w:val="00C62745"/>
    <w:rsid w:val="00C63056"/>
    <w:rsid w:val="00C654CA"/>
    <w:rsid w:val="00C722C9"/>
    <w:rsid w:val="00C763BD"/>
    <w:rsid w:val="00C779A8"/>
    <w:rsid w:val="00C82E19"/>
    <w:rsid w:val="00C96873"/>
    <w:rsid w:val="00CA1735"/>
    <w:rsid w:val="00CA28E8"/>
    <w:rsid w:val="00CA29A1"/>
    <w:rsid w:val="00CA3C4B"/>
    <w:rsid w:val="00CA7252"/>
    <w:rsid w:val="00CB2C5A"/>
    <w:rsid w:val="00CC16F3"/>
    <w:rsid w:val="00CD12C1"/>
    <w:rsid w:val="00CD3FEB"/>
    <w:rsid w:val="00CE0C1C"/>
    <w:rsid w:val="00CE34AF"/>
    <w:rsid w:val="00CF00A4"/>
    <w:rsid w:val="00CF25FB"/>
    <w:rsid w:val="00CF614C"/>
    <w:rsid w:val="00D006D6"/>
    <w:rsid w:val="00D02F34"/>
    <w:rsid w:val="00D13D87"/>
    <w:rsid w:val="00D16590"/>
    <w:rsid w:val="00D200F1"/>
    <w:rsid w:val="00D20720"/>
    <w:rsid w:val="00D216D8"/>
    <w:rsid w:val="00D250D9"/>
    <w:rsid w:val="00D27533"/>
    <w:rsid w:val="00D42DA3"/>
    <w:rsid w:val="00D4546D"/>
    <w:rsid w:val="00D47996"/>
    <w:rsid w:val="00D61118"/>
    <w:rsid w:val="00D614F1"/>
    <w:rsid w:val="00D70D50"/>
    <w:rsid w:val="00D71917"/>
    <w:rsid w:val="00DA3A0F"/>
    <w:rsid w:val="00DA4960"/>
    <w:rsid w:val="00DA4E62"/>
    <w:rsid w:val="00DA6990"/>
    <w:rsid w:val="00DB27BA"/>
    <w:rsid w:val="00DB337A"/>
    <w:rsid w:val="00DC51CB"/>
    <w:rsid w:val="00DC7763"/>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1134"/>
    <w:rsid w:val="00E320DD"/>
    <w:rsid w:val="00E34158"/>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70C"/>
    <w:rsid w:val="00EF0828"/>
    <w:rsid w:val="00EF6F8B"/>
    <w:rsid w:val="00F03898"/>
    <w:rsid w:val="00F1527A"/>
    <w:rsid w:val="00F24A3C"/>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903BE"/>
    <w:rsid w:val="00F95D04"/>
    <w:rsid w:val="00FA16EC"/>
    <w:rsid w:val="00FA2811"/>
    <w:rsid w:val="00FA2CFB"/>
    <w:rsid w:val="00FA4837"/>
    <w:rsid w:val="00FB1D33"/>
    <w:rsid w:val="00FB5E96"/>
    <w:rsid w:val="00FC008C"/>
    <w:rsid w:val="00FC05A0"/>
    <w:rsid w:val="00FC6758"/>
    <w:rsid w:val="00FC748E"/>
    <w:rsid w:val="00FD3014"/>
    <w:rsid w:val="00FD34EA"/>
    <w:rsid w:val="00FD4B9E"/>
    <w:rsid w:val="00FE3F3E"/>
    <w:rsid w:val="00FE4D52"/>
    <w:rsid w:val="00FE5AEE"/>
    <w:rsid w:val="00FF106B"/>
    <w:rsid w:val="00FF5BB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3373E6"/>
    <w:rPr>
      <w:rFonts w:ascii="Arial" w:hAnsi="Arial"/>
      <w:szCs w:val="24"/>
    </w:rPr>
  </w:style>
  <w:style w:type="character" w:styleId="CommentReference">
    <w:name w:val="annotation reference"/>
    <w:basedOn w:val="DefaultParagraphFont"/>
    <w:uiPriority w:val="99"/>
    <w:semiHidden/>
    <w:unhideWhenUsed/>
    <w:rsid w:val="003A6233"/>
    <w:rPr>
      <w:sz w:val="16"/>
      <w:szCs w:val="16"/>
    </w:rPr>
  </w:style>
  <w:style w:type="paragraph" w:styleId="CommentSubject">
    <w:name w:val="annotation subject"/>
    <w:basedOn w:val="CommentText"/>
    <w:next w:val="CommentText"/>
    <w:link w:val="CommentSubjectChar"/>
    <w:uiPriority w:val="99"/>
    <w:semiHidden/>
    <w:unhideWhenUsed/>
    <w:rsid w:val="003A6233"/>
    <w:rPr>
      <w:b/>
      <w:bCs/>
    </w:rPr>
  </w:style>
  <w:style w:type="character" w:customStyle="1" w:styleId="CommentTextChar">
    <w:name w:val="Comment Text Char"/>
    <w:basedOn w:val="DefaultParagraphFont"/>
    <w:link w:val="CommentText"/>
    <w:semiHidden/>
    <w:rsid w:val="003A6233"/>
    <w:rPr>
      <w:rFonts w:ascii="Arial" w:hAnsi="Arial"/>
    </w:rPr>
  </w:style>
  <w:style w:type="character" w:customStyle="1" w:styleId="CommentSubjectChar">
    <w:name w:val="Comment Subject Char"/>
    <w:basedOn w:val="CommentTextChar"/>
    <w:link w:val="CommentSubject"/>
    <w:uiPriority w:val="99"/>
    <w:semiHidden/>
    <w:rsid w:val="003A623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510C5F-58BA-46CD-B68A-3DE9E525C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f5eefb00-5952-4f7e-8cf8-96f81cfadd01"/>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261</TotalTime>
  <Pages>4</Pages>
  <Words>1211</Words>
  <Characters>6793</Characters>
  <Application>Microsoft Office Word</Application>
  <DocSecurity>10</DocSecurity>
  <Lines>56</Lines>
  <Paragraphs>15</Paragraphs>
  <ScaleCrop>false</ScaleCrop>
  <HeadingPairs>
    <vt:vector size="2" baseType="variant">
      <vt:variant>
        <vt:lpstr>Title</vt:lpstr>
      </vt:variant>
      <vt:variant>
        <vt:i4>1</vt:i4>
      </vt:variant>
    </vt:vector>
  </HeadingPairs>
  <TitlesOfParts>
    <vt:vector size="1" baseType="lpstr">
      <vt:lpstr>Growth-Hormone-Somatropin-Agents-SA_July_2026_Proposal</vt:lpstr>
    </vt:vector>
  </TitlesOfParts>
  <Company>DSS</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Growth-Hormone-Somatropin-Agents-SA_July_2026_Proposal</dc:title>
  <dc:creator>DMS</dc:creator>
  <cp:lastModifiedBy>Heriford, Katherine</cp:lastModifiedBy>
  <cp:revision>37</cp:revision>
  <cp:lastPrinted>2018-10-31T20:17:00Z</cp:lastPrinted>
  <dcterms:created xsi:type="dcterms:W3CDTF">2026-05-07T19:54:00Z</dcterms:created>
  <dcterms:modified xsi:type="dcterms:W3CDTF">2026-07-06T21:51:00Z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