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D6375" w14:textId="550E0B97" w:rsidR="00222A3D" w:rsidRDefault="00C82F1A" w:rsidP="00B07667">
      <w:pPr>
        <w:pStyle w:val="Heading1"/>
        <w:ind w:left="0"/>
        <w:jc w:val="center"/>
      </w:pPr>
      <w:r>
        <w:t>Preferred Drug List</w:t>
      </w:r>
      <w:r w:rsidR="007F14C2">
        <w:t xml:space="preserve"> (PDL)</w:t>
      </w:r>
      <w:r>
        <w:t xml:space="preserve"> Announcement</w:t>
      </w:r>
    </w:p>
    <w:p w14:paraId="5EB6E512" w14:textId="2FB24F0C" w:rsidR="00124803" w:rsidRPr="00061296" w:rsidRDefault="00124803" w:rsidP="00124803">
      <w:pPr>
        <w:pStyle w:val="BodyText"/>
        <w:rPr>
          <w:color w:val="auto"/>
        </w:rPr>
      </w:pPr>
      <w:r w:rsidRPr="00061296">
        <w:rPr>
          <w:color w:val="auto"/>
        </w:rPr>
        <w:t>MO HealthNet Division (MHD) is continuing the state-specific Preferred Drug List (PDL) evaluation process. Drugs/</w:t>
      </w:r>
      <w:r>
        <w:rPr>
          <w:color w:val="auto"/>
        </w:rPr>
        <w:t>d</w:t>
      </w:r>
      <w:r w:rsidRPr="00061296">
        <w:rPr>
          <w:color w:val="auto"/>
        </w:rPr>
        <w:t>rug classes for review for the upcoming quarter are identified at each of the quarterly meetings of the Drug Prior Authorization</w:t>
      </w:r>
      <w:r>
        <w:rPr>
          <w:color w:val="auto"/>
        </w:rPr>
        <w:t xml:space="preserve"> </w:t>
      </w:r>
      <w:r w:rsidRPr="00061296">
        <w:rPr>
          <w:color w:val="auto"/>
        </w:rPr>
        <w:t xml:space="preserve">Committee </w:t>
      </w:r>
      <w:r w:rsidR="004C1EA9">
        <w:rPr>
          <w:color w:val="auto"/>
        </w:rPr>
        <w:t xml:space="preserve">(DPAC) </w:t>
      </w:r>
      <w:r w:rsidRPr="00061296">
        <w:rPr>
          <w:color w:val="auto"/>
        </w:rPr>
        <w:t>and also posted on the Division’s web page at</w:t>
      </w:r>
      <w:r>
        <w:rPr>
          <w:color w:val="auto"/>
        </w:rPr>
        <w:t xml:space="preserve"> </w:t>
      </w:r>
      <w:hyperlink r:id="rId10" w:history="1">
        <w:r w:rsidRPr="00AC5A87">
          <w:rPr>
            <w:rStyle w:val="Hyperlink"/>
          </w:rPr>
          <w:t>https://mydss.mo.gov/mhd/pharmacy-committees</w:t>
        </w:r>
      </w:hyperlink>
      <w:r w:rsidRPr="00061296">
        <w:rPr>
          <w:color w:val="auto"/>
        </w:rPr>
        <w:t xml:space="preserve">. </w:t>
      </w:r>
    </w:p>
    <w:p w14:paraId="297EC060" w14:textId="1037FAEA" w:rsidR="00124803" w:rsidRPr="00061296" w:rsidRDefault="008421FA" w:rsidP="00124803">
      <w:pPr>
        <w:pStyle w:val="BodyText"/>
        <w:rPr>
          <w:color w:val="auto"/>
        </w:rPr>
      </w:pPr>
      <w:r>
        <w:rPr>
          <w:color w:val="auto"/>
        </w:rPr>
        <w:t>MHD</w:t>
      </w:r>
      <w:r w:rsidR="00124803" w:rsidRPr="00061296">
        <w:rPr>
          <w:color w:val="auto"/>
        </w:rPr>
        <w:t xml:space="preserve">’s clinical team will conduct </w:t>
      </w:r>
      <w:proofErr w:type="gramStart"/>
      <w:r w:rsidR="00124803" w:rsidRPr="00061296">
        <w:rPr>
          <w:color w:val="auto"/>
        </w:rPr>
        <w:t>the clinical</w:t>
      </w:r>
      <w:proofErr w:type="gramEnd"/>
      <w:r w:rsidR="00124803" w:rsidRPr="00061296">
        <w:rPr>
          <w:color w:val="auto"/>
        </w:rPr>
        <w:t xml:space="preserve"> reviews of the drug products under evaluation each quarter. For preferred status consideration for your product, a more detailed review request should be presented to MHD. </w:t>
      </w:r>
    </w:p>
    <w:p w14:paraId="2736A8E7" w14:textId="22EEC347" w:rsidR="008421FA" w:rsidRPr="007D21F4" w:rsidRDefault="008421FA" w:rsidP="00C92F43">
      <w:pPr>
        <w:pStyle w:val="GWBullets"/>
        <w:keepNext/>
        <w:tabs>
          <w:tab w:val="left" w:pos="360"/>
        </w:tabs>
        <w:spacing w:after="0"/>
        <w:ind w:left="360"/>
      </w:pPr>
      <w:r w:rsidRPr="00061296">
        <w:rPr>
          <w:color w:val="auto"/>
        </w:rPr>
        <w:t xml:space="preserve">Financial evaluations for these therapeutic class reviews are conducted by Gainwell Technologies, LLC. Companies wishing to discuss opportunities for supplemental rebates and/or the policy surrounding the PDL process should contact </w:t>
      </w:r>
      <w:hyperlink r:id="rId11" w:history="1">
        <w:r w:rsidRPr="002040D1">
          <w:rPr>
            <w:rStyle w:val="Hyperlink"/>
          </w:rPr>
          <w:t>GWTContracting@gainwelltechnologies.com</w:t>
        </w:r>
      </w:hyperlink>
      <w:r w:rsidRPr="00C92F43">
        <w:rPr>
          <w:color w:val="auto"/>
        </w:rPr>
        <w:t xml:space="preserve">. </w:t>
      </w:r>
      <w:r w:rsidRPr="007D21F4">
        <w:t xml:space="preserve"> </w:t>
      </w:r>
    </w:p>
    <w:p w14:paraId="0B1BA3C5" w14:textId="77777777" w:rsidR="006D7D7A" w:rsidRPr="007D21F4" w:rsidRDefault="006D7D7A" w:rsidP="006D7D7A">
      <w:pPr>
        <w:pStyle w:val="GWBullets"/>
        <w:tabs>
          <w:tab w:val="left" w:pos="360"/>
        </w:tabs>
        <w:ind w:left="360"/>
      </w:pPr>
      <w:r w:rsidRPr="00061296">
        <w:rPr>
          <w:color w:val="auto"/>
        </w:rPr>
        <w:t>All clinical information for consideration should be forwarded to</w:t>
      </w:r>
      <w:r>
        <w:rPr>
          <w:color w:val="auto"/>
        </w:rPr>
        <w:t xml:space="preserve"> </w:t>
      </w:r>
      <w:r w:rsidRPr="00137AC9">
        <w:rPr>
          <w:color w:val="auto"/>
        </w:rPr>
        <w:t xml:space="preserve">Gainwell Technologies’ </w:t>
      </w:r>
      <w:r w:rsidRPr="00421366">
        <w:rPr>
          <w:color w:val="auto"/>
        </w:rPr>
        <w:t xml:space="preserve">Clinical Services department at </w:t>
      </w:r>
      <w:hyperlink r:id="rId12" w:history="1">
        <w:r w:rsidRPr="00EE3855">
          <w:rPr>
            <w:rStyle w:val="Hyperlink"/>
          </w:rPr>
          <w:t>pbmclinicalservices@gainwelltechnologies.com</w:t>
        </w:r>
      </w:hyperlink>
      <w:r w:rsidRPr="00421366">
        <w:rPr>
          <w:color w:val="auto"/>
        </w:rPr>
        <w:t>; please include “MO HealthNet DPAC Clinical Information” at the beginning of the subject line</w:t>
      </w:r>
      <w:r w:rsidRPr="00061296">
        <w:rPr>
          <w:color w:val="auto"/>
        </w:rPr>
        <w:t xml:space="preserve">. These submissions should generally follow the AMCP guideline format. </w:t>
      </w:r>
    </w:p>
    <w:p w14:paraId="2101AD2D" w14:textId="6E2DF9A9" w:rsidR="00124803" w:rsidRPr="007D21F4" w:rsidRDefault="00124803" w:rsidP="004B7498">
      <w:pPr>
        <w:pStyle w:val="GWBullets"/>
        <w:tabs>
          <w:tab w:val="left" w:pos="360"/>
        </w:tabs>
        <w:spacing w:after="0"/>
        <w:ind w:left="360"/>
      </w:pPr>
      <w:r w:rsidRPr="00061296">
        <w:rPr>
          <w:color w:val="auto"/>
        </w:rPr>
        <w:t xml:space="preserve">If a public presentation is desired, </w:t>
      </w:r>
      <w:r w:rsidR="007233AB">
        <w:rPr>
          <w:color w:val="auto"/>
        </w:rPr>
        <w:t xml:space="preserve">register at </w:t>
      </w:r>
      <w:hyperlink r:id="rId13" w:history="1">
        <w:r w:rsidR="007233AB" w:rsidRPr="00DA3194">
          <w:rPr>
            <w:rStyle w:val="Hyperlink"/>
          </w:rPr>
          <w:t>https://stateofmissouri.wufoo.com/forms/dss-registration-for-public-testimony-advisory/</w:t>
        </w:r>
      </w:hyperlink>
      <w:r w:rsidRPr="00061296">
        <w:rPr>
          <w:color w:val="auto"/>
        </w:rPr>
        <w:t xml:space="preserve">. </w:t>
      </w:r>
    </w:p>
    <w:p w14:paraId="319131CF" w14:textId="5B7C6CAC" w:rsidR="00222A3D" w:rsidRDefault="00C82F1A" w:rsidP="004C1EA9">
      <w:pPr>
        <w:spacing w:before="120" w:after="120" w:line="266" w:lineRule="auto"/>
        <w:ind w:left="0" w:right="29" w:firstLine="0"/>
        <w:rPr>
          <w:rFonts w:ascii="Arial" w:hAnsi="Arial" w:cs="Arial"/>
          <w:color w:val="auto"/>
        </w:rPr>
      </w:pPr>
      <w:r w:rsidRPr="00061296">
        <w:rPr>
          <w:rFonts w:ascii="Arial" w:hAnsi="Arial" w:cs="Arial"/>
          <w:color w:val="auto"/>
        </w:rPr>
        <w:t xml:space="preserve">The Drug PA Committee will convene at </w:t>
      </w:r>
      <w:r w:rsidR="000070F3">
        <w:rPr>
          <w:rFonts w:ascii="Arial" w:hAnsi="Arial" w:cs="Arial"/>
          <w:color w:val="auto"/>
        </w:rPr>
        <w:t>9</w:t>
      </w:r>
      <w:r w:rsidRPr="00061296">
        <w:rPr>
          <w:rFonts w:ascii="Arial" w:hAnsi="Arial" w:cs="Arial"/>
          <w:color w:val="auto"/>
        </w:rPr>
        <w:t>:00 a.m.</w:t>
      </w:r>
      <w:r w:rsidR="000070F3">
        <w:rPr>
          <w:rFonts w:ascii="Arial" w:hAnsi="Arial" w:cs="Arial"/>
          <w:color w:val="auto"/>
        </w:rPr>
        <w:t xml:space="preserve"> CST</w:t>
      </w:r>
      <w:r w:rsidRPr="00061296">
        <w:rPr>
          <w:rFonts w:ascii="Arial" w:hAnsi="Arial" w:cs="Arial"/>
          <w:color w:val="auto"/>
        </w:rPr>
        <w:t xml:space="preserve"> on T</w:t>
      </w:r>
      <w:r w:rsidR="005F646E" w:rsidRPr="00061296">
        <w:rPr>
          <w:rFonts w:ascii="Arial" w:hAnsi="Arial" w:cs="Arial"/>
          <w:color w:val="auto"/>
        </w:rPr>
        <w:t>ue</w:t>
      </w:r>
      <w:r w:rsidRPr="00061296">
        <w:rPr>
          <w:rFonts w:ascii="Arial" w:hAnsi="Arial" w:cs="Arial"/>
          <w:color w:val="auto"/>
        </w:rPr>
        <w:t xml:space="preserve">sday, </w:t>
      </w:r>
      <w:r w:rsidR="00932F73">
        <w:rPr>
          <w:rFonts w:ascii="Arial" w:hAnsi="Arial" w:cs="Arial"/>
          <w:color w:val="auto"/>
        </w:rPr>
        <w:t>October</w:t>
      </w:r>
      <w:r w:rsidRPr="00061296">
        <w:rPr>
          <w:rFonts w:ascii="Arial" w:hAnsi="Arial" w:cs="Arial"/>
          <w:color w:val="auto"/>
        </w:rPr>
        <w:t xml:space="preserve"> </w:t>
      </w:r>
      <w:r w:rsidR="000070F3">
        <w:rPr>
          <w:rFonts w:ascii="Arial" w:hAnsi="Arial" w:cs="Arial"/>
          <w:color w:val="auto"/>
        </w:rPr>
        <w:t>20</w:t>
      </w:r>
      <w:r w:rsidRPr="00061296">
        <w:rPr>
          <w:rFonts w:ascii="Arial" w:hAnsi="Arial" w:cs="Arial"/>
          <w:color w:val="auto"/>
        </w:rPr>
        <w:t>, 202</w:t>
      </w:r>
      <w:r w:rsidR="000070F3">
        <w:rPr>
          <w:rFonts w:ascii="Arial" w:hAnsi="Arial" w:cs="Arial"/>
          <w:color w:val="auto"/>
        </w:rPr>
        <w:t>6</w:t>
      </w:r>
      <w:r w:rsidRPr="00061296">
        <w:rPr>
          <w:rFonts w:ascii="Arial" w:hAnsi="Arial" w:cs="Arial"/>
          <w:color w:val="auto"/>
        </w:rPr>
        <w:t xml:space="preserve">. </w:t>
      </w:r>
    </w:p>
    <w:p w14:paraId="70A846C9" w14:textId="2C2DF31A" w:rsidR="00872AA3" w:rsidRDefault="00EB4774" w:rsidP="00EB4774">
      <w:pPr>
        <w:pStyle w:val="Heading2"/>
      </w:pPr>
      <w:r>
        <w:t>Cardiovascular</w:t>
      </w:r>
    </w:p>
    <w:p w14:paraId="756841C7" w14:textId="77777777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Angiotensin Converting Enzyme Inhibitors (ACE-Is)</w:t>
      </w:r>
    </w:p>
    <w:p w14:paraId="3BB05678" w14:textId="77777777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ACE-Is/Calcium Channel Blocker (CCB) Combination Agents</w:t>
      </w:r>
    </w:p>
    <w:p w14:paraId="76F21813" w14:textId="77777777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ACE-Is/Diuretic Combination Agents</w:t>
      </w:r>
    </w:p>
    <w:p w14:paraId="409292FA" w14:textId="77777777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Angiotensin Receptor Blockers (ARBs)</w:t>
      </w:r>
    </w:p>
    <w:p w14:paraId="521D673F" w14:textId="77777777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ARB/CCB Combination Agents</w:t>
      </w:r>
    </w:p>
    <w:p w14:paraId="4D0EC157" w14:textId="77777777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ARB/CCB/Thiazide Combination Agents</w:t>
      </w:r>
    </w:p>
    <w:p w14:paraId="4A1BFE32" w14:textId="77777777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ARB/Diuretic Combination Agents</w:t>
      </w:r>
    </w:p>
    <w:p w14:paraId="54F2A7A9" w14:textId="77777777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Anticoagulants, Injectable</w:t>
      </w:r>
    </w:p>
    <w:p w14:paraId="7C16E7BE" w14:textId="77777777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Anticoagulants, Oral</w:t>
      </w:r>
    </w:p>
    <w:p w14:paraId="15C54CB3" w14:textId="77777777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Antiplatelets</w:t>
      </w:r>
    </w:p>
    <w:p w14:paraId="7A90C3FE" w14:textId="54EB786B" w:rsidR="00564532" w:rsidRDefault="00564532" w:rsidP="00872AA3">
      <w:pPr>
        <w:pStyle w:val="GWBullets"/>
        <w:numPr>
          <w:ilvl w:val="0"/>
          <w:numId w:val="19"/>
        </w:numPr>
        <w:ind w:left="521"/>
      </w:pPr>
      <w:r w:rsidRPr="00564532">
        <w:t>Apolipoprotein CIII Small Interfering RNA (siRNA) Inhibitors</w:t>
      </w:r>
    </w:p>
    <w:p w14:paraId="4D1C3F6D" w14:textId="48F1AD43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Beta-blockers</w:t>
      </w:r>
    </w:p>
    <w:p w14:paraId="4FBA0E9D" w14:textId="77777777" w:rsidR="00872AA3" w:rsidRPr="002F5C8E" w:rsidRDefault="00872AA3" w:rsidP="00872AA3">
      <w:pPr>
        <w:pStyle w:val="GWBullets"/>
        <w:numPr>
          <w:ilvl w:val="0"/>
          <w:numId w:val="19"/>
        </w:numPr>
        <w:ind w:left="521"/>
      </w:pPr>
      <w:r w:rsidRPr="002F5C8E">
        <w:t>Beta-blocker/Diuretic Combination Agents</w:t>
      </w:r>
    </w:p>
    <w:p w14:paraId="3F0FF8E1" w14:textId="77777777" w:rsidR="00EB4774" w:rsidRPr="002F5C8E" w:rsidRDefault="00EB4774" w:rsidP="00EB4774">
      <w:pPr>
        <w:pStyle w:val="GWBullets"/>
        <w:numPr>
          <w:ilvl w:val="0"/>
          <w:numId w:val="19"/>
        </w:numPr>
        <w:ind w:left="521"/>
      </w:pPr>
      <w:r w:rsidRPr="002F5C8E">
        <w:t>CCB, Dihydropyridines</w:t>
      </w:r>
    </w:p>
    <w:p w14:paraId="62CB9FD6" w14:textId="77777777" w:rsidR="00EB4774" w:rsidRPr="002F5C8E" w:rsidRDefault="00EB4774" w:rsidP="00EB4774">
      <w:pPr>
        <w:pStyle w:val="GWBullets"/>
        <w:numPr>
          <w:ilvl w:val="0"/>
          <w:numId w:val="19"/>
        </w:numPr>
        <w:ind w:left="521"/>
      </w:pPr>
      <w:r w:rsidRPr="002F5C8E">
        <w:t xml:space="preserve">CCB, </w:t>
      </w:r>
      <w:proofErr w:type="gramStart"/>
      <w:r w:rsidRPr="002F5C8E">
        <w:t>Non-dihydropyridines</w:t>
      </w:r>
      <w:proofErr w:type="gramEnd"/>
    </w:p>
    <w:p w14:paraId="2D99304B" w14:textId="77777777" w:rsidR="00EB4774" w:rsidRPr="002F5C8E" w:rsidRDefault="00EB4774" w:rsidP="00EB4774">
      <w:pPr>
        <w:pStyle w:val="GWBullets"/>
        <w:numPr>
          <w:ilvl w:val="0"/>
          <w:numId w:val="19"/>
        </w:numPr>
        <w:ind w:left="521"/>
      </w:pPr>
      <w:proofErr w:type="spellStart"/>
      <w:r w:rsidRPr="002F5C8E">
        <w:t>Lipotropics</w:t>
      </w:r>
      <w:proofErr w:type="spellEnd"/>
      <w:r w:rsidRPr="002F5C8E">
        <w:t>, Alternative Agents</w:t>
      </w:r>
    </w:p>
    <w:p w14:paraId="68DE7121" w14:textId="77777777" w:rsidR="00EB4774" w:rsidRPr="002F5C8E" w:rsidRDefault="00EB4774" w:rsidP="00EB4774">
      <w:pPr>
        <w:pStyle w:val="GWBullets"/>
        <w:numPr>
          <w:ilvl w:val="0"/>
          <w:numId w:val="19"/>
        </w:numPr>
        <w:ind w:left="521"/>
      </w:pPr>
      <w:proofErr w:type="spellStart"/>
      <w:r w:rsidRPr="002F5C8E">
        <w:lastRenderedPageBreak/>
        <w:t>Lipotropics</w:t>
      </w:r>
      <w:proofErr w:type="spellEnd"/>
      <w:r w:rsidRPr="002F5C8E">
        <w:t>, Homozygous Familial Hypercholesterolemia (</w:t>
      </w:r>
      <w:proofErr w:type="spellStart"/>
      <w:r w:rsidRPr="002F5C8E">
        <w:t>HoFH</w:t>
      </w:r>
      <w:proofErr w:type="spellEnd"/>
      <w:r w:rsidRPr="002F5C8E">
        <w:t>) Agents</w:t>
      </w:r>
    </w:p>
    <w:p w14:paraId="38A6EE8F" w14:textId="77777777" w:rsidR="00EB4774" w:rsidRPr="002F5C8E" w:rsidRDefault="00EB4774" w:rsidP="00EB4774">
      <w:pPr>
        <w:pStyle w:val="GWBullets"/>
        <w:numPr>
          <w:ilvl w:val="0"/>
          <w:numId w:val="19"/>
        </w:numPr>
        <w:ind w:left="521"/>
      </w:pPr>
      <w:proofErr w:type="spellStart"/>
      <w:r w:rsidRPr="002F5C8E">
        <w:t>Lipotropics</w:t>
      </w:r>
      <w:proofErr w:type="spellEnd"/>
      <w:r w:rsidRPr="002F5C8E">
        <w:t>, PCSK9 Inhibitors</w:t>
      </w:r>
    </w:p>
    <w:p w14:paraId="771AA92E" w14:textId="77777777" w:rsidR="00EB4774" w:rsidRPr="002F5C8E" w:rsidRDefault="00EB4774" w:rsidP="00EB4774">
      <w:pPr>
        <w:pStyle w:val="GWBullets"/>
        <w:numPr>
          <w:ilvl w:val="0"/>
          <w:numId w:val="19"/>
        </w:numPr>
        <w:ind w:left="521"/>
      </w:pPr>
      <w:proofErr w:type="spellStart"/>
      <w:r w:rsidRPr="002F5C8E">
        <w:t>Lipotropics</w:t>
      </w:r>
      <w:proofErr w:type="spellEnd"/>
      <w:r w:rsidRPr="002F5C8E">
        <w:t>, Statins (HMG-CoA Reductase Inhibitors) &amp; Combination Agents</w:t>
      </w:r>
    </w:p>
    <w:p w14:paraId="54D9439E" w14:textId="77777777" w:rsidR="00EB4774" w:rsidRPr="002F5C8E" w:rsidRDefault="00EB4774" w:rsidP="00EB4774">
      <w:pPr>
        <w:pStyle w:val="GWBullets"/>
        <w:numPr>
          <w:ilvl w:val="0"/>
          <w:numId w:val="19"/>
        </w:numPr>
        <w:ind w:left="521"/>
      </w:pPr>
      <w:proofErr w:type="spellStart"/>
      <w:r w:rsidRPr="002F5C8E">
        <w:t>Lipotropics</w:t>
      </w:r>
      <w:proofErr w:type="spellEnd"/>
      <w:r w:rsidRPr="002F5C8E">
        <w:t>, Triglyceride Lowering Agents</w:t>
      </w:r>
    </w:p>
    <w:p w14:paraId="4C2192F7" w14:textId="2E03F29F" w:rsidR="00EB4774" w:rsidRPr="002F5C8E" w:rsidRDefault="00EB4774" w:rsidP="00EB4774">
      <w:pPr>
        <w:pStyle w:val="GWBullets"/>
        <w:numPr>
          <w:ilvl w:val="0"/>
          <w:numId w:val="19"/>
        </w:numPr>
        <w:ind w:left="521"/>
      </w:pPr>
      <w:r w:rsidRPr="002F5C8E">
        <w:t>Sympatholytic Agents</w:t>
      </w:r>
    </w:p>
    <w:p w14:paraId="4CDDD604" w14:textId="68EEE09A" w:rsidR="00872AA3" w:rsidRDefault="00EB4774" w:rsidP="00EB4774">
      <w:pPr>
        <w:pStyle w:val="Heading2"/>
      </w:pPr>
      <w:r>
        <w:t>Central Nervous System</w:t>
      </w:r>
    </w:p>
    <w:p w14:paraId="3712C6BE" w14:textId="77777777" w:rsidR="00EB4774" w:rsidRDefault="00EB4774" w:rsidP="00EB4774">
      <w:pPr>
        <w:pStyle w:val="GWBullets"/>
        <w:numPr>
          <w:ilvl w:val="0"/>
          <w:numId w:val="20"/>
        </w:numPr>
        <w:ind w:left="521"/>
      </w:pPr>
      <w:r>
        <w:t>Anticonvulsant, Rescue Agents</w:t>
      </w:r>
    </w:p>
    <w:p w14:paraId="6EEF13F7" w14:textId="77777777" w:rsidR="00EB4774" w:rsidRDefault="00EB4774" w:rsidP="00EB4774">
      <w:pPr>
        <w:pStyle w:val="GWBullets"/>
        <w:numPr>
          <w:ilvl w:val="0"/>
          <w:numId w:val="20"/>
        </w:numPr>
        <w:ind w:left="521"/>
      </w:pPr>
      <w:r>
        <w:t>Attention Deficit Hyperactivity Disorder (ADHD), Amphetamine-like, Long-acting</w:t>
      </w:r>
    </w:p>
    <w:p w14:paraId="64DDD0C8" w14:textId="77777777" w:rsidR="00EB4774" w:rsidRPr="0004031F" w:rsidRDefault="00EB4774" w:rsidP="00EB4774">
      <w:pPr>
        <w:pStyle w:val="GWBullets"/>
        <w:numPr>
          <w:ilvl w:val="0"/>
          <w:numId w:val="20"/>
        </w:numPr>
        <w:ind w:left="521"/>
      </w:pPr>
      <w:r>
        <w:t>ADHD, Amphetamine-like, Short-acting</w:t>
      </w:r>
    </w:p>
    <w:p w14:paraId="2C9F71C8" w14:textId="77777777" w:rsidR="00EB4774" w:rsidRDefault="00EB4774" w:rsidP="00EB4774">
      <w:pPr>
        <w:pStyle w:val="GWBullets"/>
        <w:numPr>
          <w:ilvl w:val="0"/>
          <w:numId w:val="20"/>
        </w:numPr>
        <w:ind w:left="521"/>
      </w:pPr>
      <w:r>
        <w:t>ADHD, Methylphenidate, Long-acting</w:t>
      </w:r>
    </w:p>
    <w:p w14:paraId="441CC18D" w14:textId="77777777" w:rsidR="00EB4774" w:rsidRDefault="00EB4774" w:rsidP="00EB4774">
      <w:pPr>
        <w:pStyle w:val="GWBullets"/>
        <w:numPr>
          <w:ilvl w:val="0"/>
          <w:numId w:val="20"/>
        </w:numPr>
        <w:ind w:left="521"/>
      </w:pPr>
      <w:r>
        <w:t>ADHD, Methylphenidate, Short-acting</w:t>
      </w:r>
    </w:p>
    <w:p w14:paraId="4B010BA0" w14:textId="158C581B" w:rsidR="00872AA3" w:rsidRDefault="00EB4774" w:rsidP="00EB4774">
      <w:pPr>
        <w:pStyle w:val="GWBullets"/>
        <w:numPr>
          <w:ilvl w:val="0"/>
          <w:numId w:val="20"/>
        </w:numPr>
        <w:ind w:left="521"/>
      </w:pPr>
      <w:r>
        <w:t xml:space="preserve">ADHD, </w:t>
      </w:r>
      <w:proofErr w:type="gramStart"/>
      <w:r>
        <w:t>Non-stimulants</w:t>
      </w:r>
      <w:proofErr w:type="gramEnd"/>
    </w:p>
    <w:p w14:paraId="621A4537" w14:textId="771FB7E9" w:rsidR="009E5854" w:rsidRDefault="009E5854" w:rsidP="00EB4774">
      <w:pPr>
        <w:pStyle w:val="GWBullets"/>
        <w:numPr>
          <w:ilvl w:val="0"/>
          <w:numId w:val="20"/>
        </w:numPr>
        <w:ind w:left="521"/>
      </w:pPr>
      <w:r>
        <w:t>Gene Therapies for Spinal Muscular Atrophy</w:t>
      </w:r>
    </w:p>
    <w:p w14:paraId="396E5815" w14:textId="15E48E21" w:rsidR="00EB4774" w:rsidRDefault="004E45F0" w:rsidP="004E45F0">
      <w:pPr>
        <w:pStyle w:val="Heading2"/>
      </w:pPr>
      <w:r>
        <w:t>Endocrine and Metabolic Agents</w:t>
      </w:r>
    </w:p>
    <w:p w14:paraId="11C40CD6" w14:textId="77777777" w:rsidR="00EB4774" w:rsidRDefault="00EB4774" w:rsidP="00EB4774">
      <w:pPr>
        <w:pStyle w:val="GWBullets"/>
        <w:numPr>
          <w:ilvl w:val="0"/>
          <w:numId w:val="21"/>
        </w:numPr>
        <w:ind w:left="521"/>
      </w:pPr>
      <w:r>
        <w:t>Agents for Bone Ossification, Bisphosphonates</w:t>
      </w:r>
    </w:p>
    <w:p w14:paraId="292D15D5" w14:textId="77777777" w:rsidR="00EB4774" w:rsidRDefault="00EB4774" w:rsidP="00EB4774">
      <w:pPr>
        <w:pStyle w:val="GWBullets"/>
        <w:numPr>
          <w:ilvl w:val="0"/>
          <w:numId w:val="21"/>
        </w:numPr>
        <w:ind w:left="521"/>
      </w:pPr>
      <w:r>
        <w:t>Agents for Bone Ossification, Calcitonin Agents</w:t>
      </w:r>
    </w:p>
    <w:p w14:paraId="476FB83D" w14:textId="588EAD7E" w:rsidR="008926ED" w:rsidRDefault="008926ED" w:rsidP="00EB4774">
      <w:pPr>
        <w:pStyle w:val="GWBullets"/>
        <w:numPr>
          <w:ilvl w:val="0"/>
          <w:numId w:val="21"/>
        </w:numPr>
        <w:ind w:left="521"/>
      </w:pPr>
      <w:r>
        <w:t>Agents for Bone Ossification, RANKL Inhibitors</w:t>
      </w:r>
    </w:p>
    <w:p w14:paraId="1297978B" w14:textId="5419A9C7" w:rsidR="00565D2A" w:rsidRDefault="00565D2A" w:rsidP="00EB4774">
      <w:pPr>
        <w:pStyle w:val="GWBullets"/>
        <w:numPr>
          <w:ilvl w:val="0"/>
          <w:numId w:val="21"/>
        </w:numPr>
        <w:ind w:left="521"/>
      </w:pPr>
      <w:r>
        <w:t>Achondroplasia, C-type Natriuretic Peptides</w:t>
      </w:r>
    </w:p>
    <w:p w14:paraId="41AB46AC" w14:textId="77777777" w:rsidR="00EB4774" w:rsidRDefault="00EB4774" w:rsidP="00EB4774">
      <w:pPr>
        <w:pStyle w:val="GWBullets"/>
        <w:numPr>
          <w:ilvl w:val="0"/>
          <w:numId w:val="21"/>
        </w:numPr>
        <w:ind w:left="521"/>
      </w:pPr>
      <w:proofErr w:type="spellStart"/>
      <w:r>
        <w:t>Antihyperuricemic</w:t>
      </w:r>
      <w:proofErr w:type="spellEnd"/>
      <w:r>
        <w:t xml:space="preserve"> Agents</w:t>
      </w:r>
    </w:p>
    <w:p w14:paraId="62C31A76" w14:textId="77777777" w:rsidR="00EB4774" w:rsidRDefault="00EB4774" w:rsidP="00EB4774">
      <w:pPr>
        <w:pStyle w:val="GWBullets"/>
        <w:numPr>
          <w:ilvl w:val="0"/>
          <w:numId w:val="21"/>
        </w:numPr>
        <w:ind w:left="521"/>
      </w:pPr>
      <w:r w:rsidRPr="00174368">
        <w:t>Antihyperglycemic, GLP-1 Receptor Agonist &amp; Combinations</w:t>
      </w:r>
      <w:r>
        <w:t xml:space="preserve"> Indicated for Diabetes</w:t>
      </w:r>
    </w:p>
    <w:p w14:paraId="6617E0C1" w14:textId="77777777" w:rsidR="004E45F0" w:rsidRDefault="00EB4774" w:rsidP="004E45F0">
      <w:pPr>
        <w:pStyle w:val="GWBullets"/>
        <w:numPr>
          <w:ilvl w:val="0"/>
          <w:numId w:val="21"/>
        </w:numPr>
        <w:ind w:left="521"/>
      </w:pPr>
      <w:r w:rsidRPr="00174368">
        <w:t>Antihyperglycemic, GLP-1 Receptor Agonist &amp; Combinations</w:t>
      </w:r>
      <w:r>
        <w:t xml:space="preserve"> Indicated for Obesity</w:t>
      </w:r>
    </w:p>
    <w:p w14:paraId="078B9AF3" w14:textId="0577F5A8" w:rsidR="00EB4774" w:rsidRDefault="00EB4774" w:rsidP="004E45F0">
      <w:pPr>
        <w:pStyle w:val="GWBullets"/>
        <w:numPr>
          <w:ilvl w:val="0"/>
          <w:numId w:val="21"/>
        </w:numPr>
        <w:ind w:left="521"/>
      </w:pPr>
      <w:r w:rsidRPr="00B1779C">
        <w:t>Transthyretin Amyloidosis Agents</w:t>
      </w:r>
    </w:p>
    <w:p w14:paraId="1874B740" w14:textId="6812F5EB" w:rsidR="004E45F0" w:rsidRDefault="004E45F0" w:rsidP="004E45F0">
      <w:pPr>
        <w:pStyle w:val="Heading2"/>
      </w:pPr>
      <w:r>
        <w:t>Gastrointestinal</w:t>
      </w:r>
    </w:p>
    <w:p w14:paraId="72AB3C30" w14:textId="77777777" w:rsidR="004E45F0" w:rsidRPr="0004031F" w:rsidRDefault="004E45F0" w:rsidP="004E45F0">
      <w:pPr>
        <w:pStyle w:val="GWBullets"/>
        <w:numPr>
          <w:ilvl w:val="0"/>
          <w:numId w:val="22"/>
        </w:numPr>
        <w:ind w:left="521"/>
      </w:pPr>
      <w:r>
        <w:t>Bile Salt Agents</w:t>
      </w:r>
    </w:p>
    <w:p w14:paraId="4CBA69EE" w14:textId="77777777" w:rsidR="004E45F0" w:rsidRDefault="004E45F0" w:rsidP="004E45F0">
      <w:pPr>
        <w:pStyle w:val="GWBullets"/>
        <w:numPr>
          <w:ilvl w:val="0"/>
          <w:numId w:val="22"/>
        </w:numPr>
        <w:ind w:left="521"/>
      </w:pPr>
      <w:r>
        <w:t>Proton Pump Inhibitors</w:t>
      </w:r>
    </w:p>
    <w:p w14:paraId="5FE9A2DA" w14:textId="7EC4913B" w:rsidR="004E45F0" w:rsidRDefault="004E45F0" w:rsidP="00525B5A">
      <w:pPr>
        <w:pStyle w:val="GWBullets"/>
        <w:numPr>
          <w:ilvl w:val="0"/>
          <w:numId w:val="22"/>
        </w:numPr>
        <w:ind w:left="521"/>
      </w:pPr>
      <w:r>
        <w:t>Urea Cycle Disorder Agents</w:t>
      </w:r>
    </w:p>
    <w:p w14:paraId="630B7653" w14:textId="3A31F0D5" w:rsidR="00525B5A" w:rsidRDefault="00525B5A" w:rsidP="00525B5A">
      <w:pPr>
        <w:pStyle w:val="Heading2"/>
      </w:pPr>
      <w:r>
        <w:t>Hematological</w:t>
      </w:r>
    </w:p>
    <w:p w14:paraId="6EEEB989" w14:textId="77777777" w:rsidR="00F74530" w:rsidRDefault="00F74530" w:rsidP="00F74530">
      <w:pPr>
        <w:pStyle w:val="GWBullets"/>
        <w:numPr>
          <w:ilvl w:val="0"/>
          <w:numId w:val="22"/>
        </w:numPr>
        <w:ind w:left="540"/>
      </w:pPr>
      <w:r>
        <w:t>Agents for Bleeding Disorders</w:t>
      </w:r>
    </w:p>
    <w:p w14:paraId="145AF475" w14:textId="600C5F87" w:rsidR="004F1297" w:rsidRPr="0088276B" w:rsidRDefault="004F1297" w:rsidP="004F1297">
      <w:pPr>
        <w:pStyle w:val="GWBullets"/>
        <w:numPr>
          <w:ilvl w:val="1"/>
          <w:numId w:val="22"/>
        </w:numPr>
        <w:ind w:left="900"/>
      </w:pPr>
      <w:r w:rsidRPr="0088276B">
        <w:t>Hemophilia A, Extended Half-life</w:t>
      </w:r>
    </w:p>
    <w:p w14:paraId="6971E891" w14:textId="42044E40" w:rsidR="004F1297" w:rsidRPr="0088276B" w:rsidRDefault="004F1297" w:rsidP="004F1297">
      <w:pPr>
        <w:pStyle w:val="GWBullets"/>
        <w:numPr>
          <w:ilvl w:val="1"/>
          <w:numId w:val="22"/>
        </w:numPr>
        <w:ind w:left="900"/>
      </w:pPr>
      <w:r w:rsidRPr="0088276B">
        <w:t>Hemophilia A, Standard Half-life</w:t>
      </w:r>
    </w:p>
    <w:p w14:paraId="3395C090" w14:textId="165C3BDF" w:rsidR="004F1297" w:rsidRPr="0088276B" w:rsidRDefault="004F1297" w:rsidP="004F1297">
      <w:pPr>
        <w:pStyle w:val="GWBullets"/>
        <w:numPr>
          <w:ilvl w:val="1"/>
          <w:numId w:val="22"/>
        </w:numPr>
        <w:ind w:left="900"/>
      </w:pPr>
      <w:r w:rsidRPr="0088276B">
        <w:t>Hemophilia B, Extended Half-life</w:t>
      </w:r>
    </w:p>
    <w:p w14:paraId="628CDC38" w14:textId="0FD42DB1" w:rsidR="004F1297" w:rsidRPr="0088276B" w:rsidRDefault="004F1297" w:rsidP="004F1297">
      <w:pPr>
        <w:pStyle w:val="GWBullets"/>
        <w:numPr>
          <w:ilvl w:val="1"/>
          <w:numId w:val="22"/>
        </w:numPr>
        <w:ind w:left="900"/>
      </w:pPr>
      <w:r w:rsidRPr="0088276B">
        <w:t>Hemophilia B, Standard Half-life</w:t>
      </w:r>
    </w:p>
    <w:p w14:paraId="78E99212" w14:textId="1CBD7560" w:rsidR="004F1297" w:rsidRPr="0088276B" w:rsidRDefault="004F1297" w:rsidP="004F1297">
      <w:pPr>
        <w:pStyle w:val="GWBullets"/>
        <w:numPr>
          <w:ilvl w:val="1"/>
          <w:numId w:val="22"/>
        </w:numPr>
        <w:ind w:left="900"/>
      </w:pPr>
      <w:r w:rsidRPr="0088276B">
        <w:t>Miscellaneous Agents</w:t>
      </w:r>
    </w:p>
    <w:p w14:paraId="0628E1FA" w14:textId="0AE9BEEB" w:rsidR="004F1297" w:rsidRPr="0088276B" w:rsidRDefault="004F1297" w:rsidP="004F1297">
      <w:pPr>
        <w:pStyle w:val="GWBullets"/>
        <w:numPr>
          <w:ilvl w:val="1"/>
          <w:numId w:val="22"/>
        </w:numPr>
        <w:ind w:left="900"/>
      </w:pPr>
      <w:r w:rsidRPr="0088276B">
        <w:t>Non-factor Products</w:t>
      </w:r>
    </w:p>
    <w:p w14:paraId="57509F4D" w14:textId="77777777" w:rsidR="00F74530" w:rsidRDefault="00F74530" w:rsidP="00F74530">
      <w:pPr>
        <w:pStyle w:val="GWBullets"/>
        <w:numPr>
          <w:ilvl w:val="0"/>
          <w:numId w:val="22"/>
        </w:numPr>
        <w:ind w:left="540"/>
      </w:pPr>
      <w:r>
        <w:t>Agents for Thrombocytopenia</w:t>
      </w:r>
    </w:p>
    <w:p w14:paraId="4AFC216B" w14:textId="77777777" w:rsidR="00F74530" w:rsidRDefault="00F74530" w:rsidP="00F74530">
      <w:pPr>
        <w:pStyle w:val="GWBullets"/>
        <w:numPr>
          <w:ilvl w:val="0"/>
          <w:numId w:val="22"/>
        </w:numPr>
        <w:ind w:left="540"/>
      </w:pPr>
      <w:r>
        <w:lastRenderedPageBreak/>
        <w:t>Colony Stimulating Factors</w:t>
      </w:r>
    </w:p>
    <w:p w14:paraId="459AD48C" w14:textId="77777777" w:rsidR="00F74530" w:rsidRDefault="00F74530" w:rsidP="00F74530">
      <w:pPr>
        <w:pStyle w:val="GWBullets"/>
        <w:numPr>
          <w:ilvl w:val="0"/>
          <w:numId w:val="22"/>
        </w:numPr>
        <w:ind w:left="540"/>
      </w:pPr>
      <w:r>
        <w:t xml:space="preserve">Erythropoiesis Stimulating Agents </w:t>
      </w:r>
    </w:p>
    <w:p w14:paraId="13B6FEAC" w14:textId="3E260F36" w:rsidR="00C83847" w:rsidRPr="005C6E54" w:rsidRDefault="00F74530" w:rsidP="00F74530">
      <w:pPr>
        <w:pStyle w:val="GWBullets"/>
        <w:numPr>
          <w:ilvl w:val="0"/>
          <w:numId w:val="22"/>
        </w:numPr>
        <w:ind w:left="521"/>
      </w:pPr>
      <w:r w:rsidRPr="005C6E54">
        <w:t>Gene Therapies for Beta-thalassemia</w:t>
      </w:r>
    </w:p>
    <w:p w14:paraId="325FBC8D" w14:textId="50B3ABE8" w:rsidR="00525B5A" w:rsidRDefault="00525B5A" w:rsidP="00525B5A">
      <w:pPr>
        <w:pStyle w:val="Heading2"/>
      </w:pPr>
      <w:r>
        <w:t>Oncology</w:t>
      </w:r>
    </w:p>
    <w:p w14:paraId="0304EEB2" w14:textId="4A0EBC6F" w:rsidR="00525B5A" w:rsidRDefault="00525B5A" w:rsidP="00525B5A">
      <w:pPr>
        <w:pStyle w:val="GWBullets"/>
        <w:numPr>
          <w:ilvl w:val="0"/>
          <w:numId w:val="22"/>
        </w:numPr>
        <w:tabs>
          <w:tab w:val="left" w:pos="1530"/>
        </w:tabs>
        <w:ind w:left="540"/>
      </w:pPr>
      <w:proofErr w:type="spellStart"/>
      <w:r>
        <w:t>Antiandrogenics</w:t>
      </w:r>
      <w:proofErr w:type="spellEnd"/>
    </w:p>
    <w:p w14:paraId="6F45D7EF" w14:textId="77777777" w:rsidR="00525B5A" w:rsidRDefault="00525B5A" w:rsidP="00525B5A">
      <w:pPr>
        <w:pStyle w:val="GWBullets"/>
        <w:numPr>
          <w:ilvl w:val="0"/>
          <w:numId w:val="22"/>
        </w:numPr>
        <w:tabs>
          <w:tab w:val="left" w:pos="1530"/>
        </w:tabs>
        <w:ind w:left="540"/>
      </w:pPr>
      <w:r>
        <w:t>Cyclin-Dependent Kinase (CDK) 4/6 Inhibitors</w:t>
      </w:r>
    </w:p>
    <w:p w14:paraId="1C4104A8" w14:textId="77777777" w:rsidR="006D62DF" w:rsidRDefault="006D62DF" w:rsidP="006D62DF">
      <w:pPr>
        <w:pStyle w:val="GWBullets"/>
        <w:numPr>
          <w:ilvl w:val="0"/>
          <w:numId w:val="22"/>
        </w:numPr>
        <w:tabs>
          <w:tab w:val="left" w:pos="1530"/>
        </w:tabs>
        <w:ind w:left="540"/>
      </w:pPr>
      <w:r>
        <w:t>MEK1/MEK2-BRAF Kinase Inhibitors</w:t>
      </w:r>
    </w:p>
    <w:p w14:paraId="04748BB2" w14:textId="7FBB3CD0" w:rsidR="006D62DF" w:rsidRDefault="006D62DF" w:rsidP="006D62DF">
      <w:pPr>
        <w:pStyle w:val="GWBullets"/>
        <w:numPr>
          <w:ilvl w:val="0"/>
          <w:numId w:val="22"/>
        </w:numPr>
        <w:tabs>
          <w:tab w:val="left" w:pos="1530"/>
        </w:tabs>
        <w:ind w:left="540"/>
      </w:pPr>
      <w:r>
        <w:t>Programmed Death Receptor-1 (PD-1) Inhibitors, Subcutaneous</w:t>
      </w:r>
    </w:p>
    <w:p w14:paraId="6579F1A6" w14:textId="263A270B" w:rsidR="00525B5A" w:rsidRDefault="00525B5A" w:rsidP="00525B5A">
      <w:pPr>
        <w:pStyle w:val="GWBullets"/>
        <w:numPr>
          <w:ilvl w:val="0"/>
          <w:numId w:val="22"/>
        </w:numPr>
        <w:tabs>
          <w:tab w:val="left" w:pos="1530"/>
        </w:tabs>
        <w:ind w:left="540"/>
      </w:pPr>
      <w:r>
        <w:t>Systemic Enzyme Inhibitors, FGFR Inhibitors</w:t>
      </w:r>
    </w:p>
    <w:p w14:paraId="0BA7CF0D" w14:textId="788F18EB" w:rsidR="00525B5A" w:rsidRDefault="00525B5A" w:rsidP="00525B5A">
      <w:pPr>
        <w:pStyle w:val="Heading2"/>
      </w:pPr>
      <w:r>
        <w:t>Ophthalmic</w:t>
      </w:r>
    </w:p>
    <w:p w14:paraId="1C295472" w14:textId="2E18E221" w:rsidR="00525B5A" w:rsidRDefault="00525B5A" w:rsidP="00525B5A">
      <w:pPr>
        <w:pStyle w:val="GWBullets"/>
        <w:numPr>
          <w:ilvl w:val="0"/>
          <w:numId w:val="22"/>
        </w:numPr>
        <w:tabs>
          <w:tab w:val="left" w:pos="1530"/>
        </w:tabs>
        <w:ind w:left="540"/>
      </w:pPr>
      <w:r w:rsidRPr="000B75D4">
        <w:t>Keratoconjunctivitis Agents</w:t>
      </w:r>
    </w:p>
    <w:p w14:paraId="5E036A7B" w14:textId="122C35B2" w:rsidR="00525B5A" w:rsidRDefault="00525B5A" w:rsidP="00525B5A">
      <w:pPr>
        <w:pStyle w:val="Heading2"/>
      </w:pPr>
      <w:r>
        <w:t>Renal and Genitourinary</w:t>
      </w:r>
    </w:p>
    <w:p w14:paraId="4037D382" w14:textId="124E3993" w:rsidR="00525B5A" w:rsidRPr="000B75D4" w:rsidRDefault="00525B5A" w:rsidP="00525B5A">
      <w:pPr>
        <w:pStyle w:val="GWBullets"/>
        <w:numPr>
          <w:ilvl w:val="0"/>
          <w:numId w:val="22"/>
        </w:numPr>
        <w:ind w:left="540"/>
      </w:pPr>
      <w:r w:rsidRPr="000B75D4">
        <w:t>Benign Prostatic Hypertrophy Inhibitors</w:t>
      </w:r>
    </w:p>
    <w:p w14:paraId="38B9F6E5" w14:textId="77777777" w:rsidR="00525B5A" w:rsidRPr="000B75D4" w:rsidRDefault="00525B5A" w:rsidP="00525B5A">
      <w:pPr>
        <w:pStyle w:val="GWBullets"/>
        <w:numPr>
          <w:ilvl w:val="0"/>
          <w:numId w:val="22"/>
        </w:numPr>
        <w:ind w:left="540"/>
      </w:pPr>
      <w:r w:rsidRPr="000B75D4">
        <w:t xml:space="preserve">Electrolyte </w:t>
      </w:r>
      <w:proofErr w:type="spellStart"/>
      <w:r w:rsidRPr="000B75D4">
        <w:t>Depleters</w:t>
      </w:r>
      <w:proofErr w:type="spellEnd"/>
      <w:r w:rsidRPr="000B75D4">
        <w:t>, Phosphate Lowering Agents</w:t>
      </w:r>
    </w:p>
    <w:p w14:paraId="514192C5" w14:textId="77777777" w:rsidR="00525B5A" w:rsidRPr="000B75D4" w:rsidRDefault="00525B5A" w:rsidP="00525B5A">
      <w:pPr>
        <w:pStyle w:val="GWBullets"/>
        <w:numPr>
          <w:ilvl w:val="0"/>
          <w:numId w:val="22"/>
        </w:numPr>
        <w:ind w:left="540"/>
      </w:pPr>
      <w:r w:rsidRPr="000B75D4">
        <w:t xml:space="preserve">Electrolyte </w:t>
      </w:r>
      <w:proofErr w:type="spellStart"/>
      <w:r w:rsidRPr="000B75D4">
        <w:t>Depleters</w:t>
      </w:r>
      <w:proofErr w:type="spellEnd"/>
      <w:r w:rsidRPr="000B75D4">
        <w:t>, Potassium Lowering Agents</w:t>
      </w:r>
    </w:p>
    <w:p w14:paraId="0A8234FF" w14:textId="5BA878C4" w:rsidR="00525B5A" w:rsidRDefault="00525B5A" w:rsidP="00525B5A">
      <w:pPr>
        <w:pStyle w:val="GWBullets"/>
        <w:numPr>
          <w:ilvl w:val="0"/>
          <w:numId w:val="22"/>
        </w:numPr>
        <w:tabs>
          <w:tab w:val="left" w:pos="1530"/>
        </w:tabs>
        <w:ind w:left="540"/>
      </w:pPr>
      <w:r w:rsidRPr="000B75D4">
        <w:t>Mineralocorticoid Receptor Antagonists</w:t>
      </w:r>
    </w:p>
    <w:p w14:paraId="761298F0" w14:textId="3363186F" w:rsidR="004C53EE" w:rsidRDefault="004C53EE" w:rsidP="004C53EE">
      <w:pPr>
        <w:pStyle w:val="Heading2"/>
      </w:pPr>
      <w:r>
        <w:t>Respiratory</w:t>
      </w:r>
    </w:p>
    <w:p w14:paraId="710DCECF" w14:textId="1DBCFBBF" w:rsidR="004C53EE" w:rsidRDefault="004C53EE" w:rsidP="004C53EE">
      <w:pPr>
        <w:pStyle w:val="GWBullets"/>
        <w:numPr>
          <w:ilvl w:val="0"/>
          <w:numId w:val="22"/>
        </w:numPr>
        <w:ind w:left="540"/>
      </w:pPr>
      <w:r>
        <w:t>Idiopathic Pulmonary Fibrosis Agents</w:t>
      </w:r>
    </w:p>
    <w:p w14:paraId="39C3D868" w14:textId="77777777" w:rsidR="004C53EE" w:rsidRPr="000B75D4" w:rsidRDefault="004C53EE" w:rsidP="004C53EE">
      <w:pPr>
        <w:pStyle w:val="GWBullets"/>
        <w:numPr>
          <w:ilvl w:val="0"/>
          <w:numId w:val="22"/>
        </w:numPr>
        <w:ind w:left="540"/>
      </w:pPr>
      <w:r w:rsidRPr="000B75D4">
        <w:t xml:space="preserve">Pulmonary Arterial Hypertension (PAH) Agents, </w:t>
      </w:r>
      <w:proofErr w:type="spellStart"/>
      <w:r w:rsidRPr="000B75D4">
        <w:t>Prostacyclins</w:t>
      </w:r>
      <w:proofErr w:type="spellEnd"/>
      <w:r w:rsidRPr="000B75D4">
        <w:t>, Inhaled</w:t>
      </w:r>
    </w:p>
    <w:p w14:paraId="2951D557" w14:textId="77777777" w:rsidR="004C53EE" w:rsidRPr="000B75D4" w:rsidRDefault="004C53EE" w:rsidP="004C53EE">
      <w:pPr>
        <w:pStyle w:val="GWBullets"/>
        <w:numPr>
          <w:ilvl w:val="0"/>
          <w:numId w:val="22"/>
        </w:numPr>
        <w:ind w:left="540"/>
      </w:pPr>
      <w:r w:rsidRPr="000B75D4">
        <w:t xml:space="preserve">PAH Agents, </w:t>
      </w:r>
      <w:proofErr w:type="spellStart"/>
      <w:r w:rsidRPr="000B75D4">
        <w:t>Prostacyclins</w:t>
      </w:r>
      <w:proofErr w:type="spellEnd"/>
      <w:r w:rsidRPr="000B75D4">
        <w:t>, IV/SQ</w:t>
      </w:r>
    </w:p>
    <w:p w14:paraId="43722FFD" w14:textId="77777777" w:rsidR="004C53EE" w:rsidRPr="000B75D4" w:rsidRDefault="004C53EE" w:rsidP="004C53EE">
      <w:pPr>
        <w:pStyle w:val="GWBullets"/>
        <w:numPr>
          <w:ilvl w:val="0"/>
          <w:numId w:val="22"/>
        </w:numPr>
        <w:ind w:left="540"/>
      </w:pPr>
      <w:r w:rsidRPr="000B75D4">
        <w:t xml:space="preserve">PAH Agents, </w:t>
      </w:r>
      <w:proofErr w:type="spellStart"/>
      <w:r w:rsidRPr="000B75D4">
        <w:t>Prostacyclins</w:t>
      </w:r>
      <w:proofErr w:type="spellEnd"/>
      <w:r w:rsidRPr="000B75D4">
        <w:t>, Oral</w:t>
      </w:r>
    </w:p>
    <w:p w14:paraId="0EA7DE65" w14:textId="69130E56" w:rsidR="004C53EE" w:rsidRPr="000B75D4" w:rsidRDefault="004C53EE" w:rsidP="004C53EE">
      <w:pPr>
        <w:pStyle w:val="GWBullets"/>
        <w:numPr>
          <w:ilvl w:val="0"/>
          <w:numId w:val="22"/>
        </w:numPr>
        <w:ind w:left="540"/>
      </w:pPr>
      <w:r w:rsidRPr="000B75D4">
        <w:t xml:space="preserve">PAH Agents, Endothelin Receptor Antagonists </w:t>
      </w:r>
    </w:p>
    <w:p w14:paraId="268C57B7" w14:textId="590B883B" w:rsidR="004C53EE" w:rsidRDefault="004C53EE" w:rsidP="004C53EE">
      <w:pPr>
        <w:pStyle w:val="GWBullets"/>
        <w:numPr>
          <w:ilvl w:val="0"/>
          <w:numId w:val="22"/>
        </w:numPr>
        <w:tabs>
          <w:tab w:val="left" w:pos="1530"/>
        </w:tabs>
        <w:ind w:left="540"/>
      </w:pPr>
      <w:r w:rsidRPr="000B75D4">
        <w:t>PAH Agents, Phosphodiesterase-5 Inhibitors &amp; Soluble Guanylate Cyclase Stimulators</w:t>
      </w:r>
    </w:p>
    <w:p w14:paraId="3069B45B" w14:textId="423BBEF7" w:rsidR="00231EBA" w:rsidRDefault="00231EBA" w:rsidP="005707DD">
      <w:pPr>
        <w:spacing w:after="0" w:line="259" w:lineRule="auto"/>
        <w:ind w:left="0" w:right="0" w:firstLine="0"/>
      </w:pPr>
    </w:p>
    <w:sectPr w:rsidR="00231EBA" w:rsidSect="008421FA">
      <w:headerReference w:type="default" r:id="rId14"/>
      <w:footerReference w:type="default" r:id="rId15"/>
      <w:pgSz w:w="12240" w:h="15840"/>
      <w:pgMar w:top="1080" w:right="1080" w:bottom="1080" w:left="108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4BD6D" w14:textId="77777777" w:rsidR="00A00399" w:rsidRDefault="00A00399" w:rsidP="006C0399">
      <w:pPr>
        <w:spacing w:after="0" w:line="240" w:lineRule="auto"/>
      </w:pPr>
      <w:r>
        <w:separator/>
      </w:r>
    </w:p>
  </w:endnote>
  <w:endnote w:type="continuationSeparator" w:id="0">
    <w:p w14:paraId="64AE509D" w14:textId="77777777" w:rsidR="00A00399" w:rsidRDefault="00A00399" w:rsidP="006C0399">
      <w:pPr>
        <w:spacing w:after="0" w:line="240" w:lineRule="auto"/>
      </w:pPr>
      <w:r>
        <w:continuationSeparator/>
      </w:r>
    </w:p>
  </w:endnote>
  <w:endnote w:type="continuationNotice" w:id="1">
    <w:p w14:paraId="4D583E9D" w14:textId="77777777" w:rsidR="00A00399" w:rsidRDefault="00A003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936999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40E18C1C" w14:textId="5FBEE0AD" w:rsidR="006C0399" w:rsidRPr="003B214C" w:rsidRDefault="006C0399">
        <w:pPr>
          <w:pStyle w:val="Footer"/>
          <w:jc w:val="right"/>
          <w:rPr>
            <w:rFonts w:ascii="Arial" w:hAnsi="Arial" w:cs="Arial"/>
          </w:rPr>
        </w:pPr>
        <w:r w:rsidRPr="003B214C">
          <w:rPr>
            <w:rFonts w:ascii="Arial" w:hAnsi="Arial" w:cs="Arial"/>
          </w:rPr>
          <w:fldChar w:fldCharType="begin"/>
        </w:r>
        <w:r w:rsidRPr="003B214C">
          <w:rPr>
            <w:rFonts w:ascii="Arial" w:hAnsi="Arial" w:cs="Arial"/>
          </w:rPr>
          <w:instrText xml:space="preserve"> PAGE   \* MERGEFORMAT </w:instrText>
        </w:r>
        <w:r w:rsidRPr="003B214C">
          <w:rPr>
            <w:rFonts w:ascii="Arial" w:hAnsi="Arial" w:cs="Arial"/>
          </w:rPr>
          <w:fldChar w:fldCharType="separate"/>
        </w:r>
        <w:r w:rsidRPr="003B214C">
          <w:rPr>
            <w:rFonts w:ascii="Arial" w:hAnsi="Arial" w:cs="Arial"/>
            <w:noProof/>
          </w:rPr>
          <w:t>2</w:t>
        </w:r>
        <w:r w:rsidRPr="003B214C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1F7C4" w14:textId="77777777" w:rsidR="00A00399" w:rsidRDefault="00A00399" w:rsidP="006C0399">
      <w:pPr>
        <w:spacing w:after="0" w:line="240" w:lineRule="auto"/>
      </w:pPr>
      <w:r>
        <w:separator/>
      </w:r>
    </w:p>
  </w:footnote>
  <w:footnote w:type="continuationSeparator" w:id="0">
    <w:p w14:paraId="051E1671" w14:textId="77777777" w:rsidR="00A00399" w:rsidRDefault="00A00399" w:rsidP="006C0399">
      <w:pPr>
        <w:spacing w:after="0" w:line="240" w:lineRule="auto"/>
      </w:pPr>
      <w:r>
        <w:continuationSeparator/>
      </w:r>
    </w:p>
  </w:footnote>
  <w:footnote w:type="continuationNotice" w:id="1">
    <w:p w14:paraId="0118BDD9" w14:textId="77777777" w:rsidR="00A00399" w:rsidRDefault="00A003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FC16B" w14:textId="0DCE621C" w:rsidR="003E5A49" w:rsidRDefault="003E5A49" w:rsidP="008421FA">
    <w:pPr>
      <w:pStyle w:val="Header"/>
      <w:spacing w:after="60"/>
      <w:ind w:left="115" w:right="29" w:hanging="1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019D6C" wp14:editId="594351D6">
          <wp:simplePos x="0" y="0"/>
          <wp:positionH relativeFrom="margin">
            <wp:align>right</wp:align>
          </wp:positionH>
          <wp:positionV relativeFrom="paragraph">
            <wp:posOffset>114300</wp:posOffset>
          </wp:positionV>
          <wp:extent cx="1779905" cy="438785"/>
          <wp:effectExtent l="0" t="0" r="0" b="0"/>
          <wp:wrapThrough wrapText="bothSides">
            <wp:wrapPolygon edited="0">
              <wp:start x="18726" y="0"/>
              <wp:lineTo x="0" y="2813"/>
              <wp:lineTo x="0" y="20631"/>
              <wp:lineTo x="2543" y="20631"/>
              <wp:lineTo x="21269" y="16880"/>
              <wp:lineTo x="21269" y="0"/>
              <wp:lineTo x="18726" y="0"/>
            </wp:wrapPolygon>
          </wp:wrapThrough>
          <wp:docPr id="1" name="Picture 1" descr="Gainwel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ainwell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9905" cy="438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D23FA8F" wp14:editId="2B20587B">
          <wp:extent cx="3276600" cy="685800"/>
          <wp:effectExtent l="0" t="0" r="0" b="0"/>
          <wp:docPr id="171" name="Picture 171" descr="MO HealthNe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" name="Picture 171" descr="MO HealthNet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1A75"/>
    <w:multiLevelType w:val="hybridMultilevel"/>
    <w:tmpl w:val="EA346A10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5A40A9A"/>
    <w:multiLevelType w:val="hybridMultilevel"/>
    <w:tmpl w:val="B86CA9AE"/>
    <w:lvl w:ilvl="0" w:tplc="040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 w15:restartNumberingAfterBreak="0">
    <w:nsid w:val="0DC26F85"/>
    <w:multiLevelType w:val="hybridMultilevel"/>
    <w:tmpl w:val="42C6046E"/>
    <w:lvl w:ilvl="0" w:tplc="4CF26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6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A135B"/>
    <w:multiLevelType w:val="hybridMultilevel"/>
    <w:tmpl w:val="CAC43B1C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118F548B"/>
    <w:multiLevelType w:val="hybridMultilevel"/>
    <w:tmpl w:val="79A2A4CA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1BF00A96"/>
    <w:multiLevelType w:val="hybridMultilevel"/>
    <w:tmpl w:val="89EA56D2"/>
    <w:lvl w:ilvl="0" w:tplc="4CF26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6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148FE"/>
    <w:multiLevelType w:val="hybridMultilevel"/>
    <w:tmpl w:val="6EDC6164"/>
    <w:lvl w:ilvl="0" w:tplc="4CF265CE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2016206F"/>
    <w:multiLevelType w:val="hybridMultilevel"/>
    <w:tmpl w:val="3408855A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" w15:restartNumberingAfterBreak="0">
    <w:nsid w:val="21796849"/>
    <w:multiLevelType w:val="hybridMultilevel"/>
    <w:tmpl w:val="1CAAE4D6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 w15:restartNumberingAfterBreak="0">
    <w:nsid w:val="317644A8"/>
    <w:multiLevelType w:val="hybridMultilevel"/>
    <w:tmpl w:val="419C6F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3A701F30"/>
    <w:multiLevelType w:val="hybridMultilevel"/>
    <w:tmpl w:val="5D725B76"/>
    <w:lvl w:ilvl="0" w:tplc="C0AAC670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color w:val="00961D"/>
      </w:rPr>
    </w:lvl>
    <w:lvl w:ilvl="1" w:tplc="BAD646D6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 w15:restartNumberingAfterBreak="0">
    <w:nsid w:val="3D2B6134"/>
    <w:multiLevelType w:val="hybridMultilevel"/>
    <w:tmpl w:val="58B0D882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4D376EB4"/>
    <w:multiLevelType w:val="hybridMultilevel"/>
    <w:tmpl w:val="76400108"/>
    <w:lvl w:ilvl="0" w:tplc="FE1C169E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426850">
      <w:start w:val="1"/>
      <w:numFmt w:val="bullet"/>
      <w:lvlText w:val="o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E3466">
      <w:start w:val="1"/>
      <w:numFmt w:val="bullet"/>
      <w:lvlText w:val="▪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4881DC">
      <w:start w:val="1"/>
      <w:numFmt w:val="bullet"/>
      <w:lvlText w:val="•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4698E6">
      <w:start w:val="1"/>
      <w:numFmt w:val="bullet"/>
      <w:lvlText w:val="o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4AF40">
      <w:start w:val="1"/>
      <w:numFmt w:val="bullet"/>
      <w:lvlText w:val="▪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2EC5A">
      <w:start w:val="1"/>
      <w:numFmt w:val="bullet"/>
      <w:lvlText w:val="•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5C1956">
      <w:start w:val="1"/>
      <w:numFmt w:val="bullet"/>
      <w:lvlText w:val="o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4EA094">
      <w:start w:val="1"/>
      <w:numFmt w:val="bullet"/>
      <w:lvlText w:val="▪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F0373FD"/>
    <w:multiLevelType w:val="hybridMultilevel"/>
    <w:tmpl w:val="72F0CF1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501D32FB"/>
    <w:multiLevelType w:val="hybridMultilevel"/>
    <w:tmpl w:val="005AC716"/>
    <w:lvl w:ilvl="0" w:tplc="424252C8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C0954">
      <w:start w:val="1"/>
      <w:numFmt w:val="bullet"/>
      <w:lvlText w:val="o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3EEE7C">
      <w:start w:val="1"/>
      <w:numFmt w:val="bullet"/>
      <w:lvlText w:val="▪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A003C">
      <w:start w:val="1"/>
      <w:numFmt w:val="bullet"/>
      <w:lvlText w:val="•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28A714">
      <w:start w:val="1"/>
      <w:numFmt w:val="bullet"/>
      <w:lvlText w:val="o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2C6418">
      <w:start w:val="1"/>
      <w:numFmt w:val="bullet"/>
      <w:lvlText w:val="▪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AAF892">
      <w:start w:val="1"/>
      <w:numFmt w:val="bullet"/>
      <w:lvlText w:val="•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A8A22">
      <w:start w:val="1"/>
      <w:numFmt w:val="bullet"/>
      <w:lvlText w:val="o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CA63D0">
      <w:start w:val="1"/>
      <w:numFmt w:val="bullet"/>
      <w:lvlText w:val="▪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CE0435"/>
    <w:multiLevelType w:val="hybridMultilevel"/>
    <w:tmpl w:val="CFFA3A6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color w:val="00961D"/>
      </w:rPr>
    </w:lvl>
    <w:lvl w:ilvl="1" w:tplc="588A2022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  <w:color w:val="00961D"/>
        <w:sz w:val="22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6" w15:restartNumberingAfterBreak="0">
    <w:nsid w:val="56ED7DF1"/>
    <w:multiLevelType w:val="hybridMultilevel"/>
    <w:tmpl w:val="A5FA0B9A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7" w15:restartNumberingAfterBreak="0">
    <w:nsid w:val="5D0B49A2"/>
    <w:multiLevelType w:val="hybridMultilevel"/>
    <w:tmpl w:val="3E70CF66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8" w15:restartNumberingAfterBreak="0">
    <w:nsid w:val="6A225C6C"/>
    <w:multiLevelType w:val="hybridMultilevel"/>
    <w:tmpl w:val="D1DC7A4E"/>
    <w:lvl w:ilvl="0" w:tplc="4CF26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6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67832"/>
    <w:multiLevelType w:val="hybridMultilevel"/>
    <w:tmpl w:val="7042F010"/>
    <w:lvl w:ilvl="0" w:tplc="4CF265CE">
      <w:start w:val="1"/>
      <w:numFmt w:val="bullet"/>
      <w:pStyle w:val="GWBullets"/>
      <w:lvlText w:val=""/>
      <w:lvlJc w:val="left"/>
      <w:pPr>
        <w:ind w:left="1890" w:hanging="360"/>
      </w:pPr>
      <w:rPr>
        <w:rFonts w:ascii="Symbol" w:hAnsi="Symbol" w:hint="default"/>
        <w:color w:val="00961D"/>
      </w:rPr>
    </w:lvl>
    <w:lvl w:ilvl="1" w:tplc="FFFFFFFF">
      <w:start w:val="1"/>
      <w:numFmt w:val="bullet"/>
      <w:pStyle w:val="GWBullets2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70F23211"/>
    <w:multiLevelType w:val="hybridMultilevel"/>
    <w:tmpl w:val="F36052F4"/>
    <w:lvl w:ilvl="0" w:tplc="EA4055BE">
      <w:start w:val="1"/>
      <w:numFmt w:val="bullet"/>
      <w:lvlText w:val="•"/>
      <w:lvlJc w:val="left"/>
      <w:pPr>
        <w:ind w:left="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6DD40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CC4206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204116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2843F4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BE6F74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C3BF6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8646FA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C09564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9C3E41"/>
    <w:multiLevelType w:val="hybridMultilevel"/>
    <w:tmpl w:val="B8E0FA50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2" w15:restartNumberingAfterBreak="0">
    <w:nsid w:val="7E880951"/>
    <w:multiLevelType w:val="hybridMultilevel"/>
    <w:tmpl w:val="7B3E95C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color w:val="00961D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472256999">
    <w:abstractNumId w:val="14"/>
  </w:num>
  <w:num w:numId="2" w16cid:durableId="1239289830">
    <w:abstractNumId w:val="12"/>
  </w:num>
  <w:num w:numId="3" w16cid:durableId="1409574709">
    <w:abstractNumId w:val="20"/>
  </w:num>
  <w:num w:numId="4" w16cid:durableId="159085277">
    <w:abstractNumId w:val="1"/>
  </w:num>
  <w:num w:numId="5" w16cid:durableId="828129702">
    <w:abstractNumId w:val="10"/>
  </w:num>
  <w:num w:numId="6" w16cid:durableId="1074351994">
    <w:abstractNumId w:val="10"/>
  </w:num>
  <w:num w:numId="7" w16cid:durableId="1708946166">
    <w:abstractNumId w:val="18"/>
  </w:num>
  <w:num w:numId="8" w16cid:durableId="845905044">
    <w:abstractNumId w:val="5"/>
  </w:num>
  <w:num w:numId="9" w16cid:durableId="2107386428">
    <w:abstractNumId w:val="2"/>
  </w:num>
  <w:num w:numId="10" w16cid:durableId="652029329">
    <w:abstractNumId w:val="4"/>
  </w:num>
  <w:num w:numId="11" w16cid:durableId="1431925048">
    <w:abstractNumId w:val="16"/>
  </w:num>
  <w:num w:numId="12" w16cid:durableId="85536774">
    <w:abstractNumId w:val="17"/>
  </w:num>
  <w:num w:numId="13" w16cid:durableId="1096286714">
    <w:abstractNumId w:val="0"/>
  </w:num>
  <w:num w:numId="14" w16cid:durableId="2024433793">
    <w:abstractNumId w:val="21"/>
  </w:num>
  <w:num w:numId="15" w16cid:durableId="1555432128">
    <w:abstractNumId w:val="11"/>
  </w:num>
  <w:num w:numId="16" w16cid:durableId="367798424">
    <w:abstractNumId w:val="8"/>
  </w:num>
  <w:num w:numId="17" w16cid:durableId="50008558">
    <w:abstractNumId w:val="7"/>
  </w:num>
  <w:num w:numId="18" w16cid:durableId="1324551828">
    <w:abstractNumId w:val="3"/>
  </w:num>
  <w:num w:numId="19" w16cid:durableId="282201566">
    <w:abstractNumId w:val="13"/>
  </w:num>
  <w:num w:numId="20" w16cid:durableId="777484606">
    <w:abstractNumId w:val="9"/>
  </w:num>
  <w:num w:numId="21" w16cid:durableId="636303057">
    <w:abstractNumId w:val="22"/>
  </w:num>
  <w:num w:numId="22" w16cid:durableId="433867239">
    <w:abstractNumId w:val="15"/>
  </w:num>
  <w:num w:numId="23" w16cid:durableId="1987128076">
    <w:abstractNumId w:val="6"/>
  </w:num>
  <w:num w:numId="24" w16cid:durableId="20166129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qBgHSMOF7qrA0ul7fwu5M9/mgxTTbHM7XWGV8wpCYc+MwSb70JyKO0UDNoOqZXv5PhD20ijBitL+4x2291cSg==" w:salt="ktK4Fi+m5HA/O52oETAru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A3D"/>
    <w:rsid w:val="00005F32"/>
    <w:rsid w:val="000070F3"/>
    <w:rsid w:val="00016CDA"/>
    <w:rsid w:val="00034A4C"/>
    <w:rsid w:val="0004031F"/>
    <w:rsid w:val="0004743E"/>
    <w:rsid w:val="00061296"/>
    <w:rsid w:val="00075321"/>
    <w:rsid w:val="00083748"/>
    <w:rsid w:val="00084029"/>
    <w:rsid w:val="000A4B13"/>
    <w:rsid w:val="000B60CE"/>
    <w:rsid w:val="000B75D4"/>
    <w:rsid w:val="000C7B4F"/>
    <w:rsid w:val="000D0CCA"/>
    <w:rsid w:val="000D604C"/>
    <w:rsid w:val="000E1BFD"/>
    <w:rsid w:val="000F12E4"/>
    <w:rsid w:val="00102918"/>
    <w:rsid w:val="0011472A"/>
    <w:rsid w:val="001215E1"/>
    <w:rsid w:val="00124803"/>
    <w:rsid w:val="00127723"/>
    <w:rsid w:val="00130E77"/>
    <w:rsid w:val="001310B0"/>
    <w:rsid w:val="0014787A"/>
    <w:rsid w:val="00155686"/>
    <w:rsid w:val="00174368"/>
    <w:rsid w:val="001824B7"/>
    <w:rsid w:val="001928C1"/>
    <w:rsid w:val="00196CF2"/>
    <w:rsid w:val="001C7FFD"/>
    <w:rsid w:val="001E72B2"/>
    <w:rsid w:val="001F393B"/>
    <w:rsid w:val="001F66C9"/>
    <w:rsid w:val="00202835"/>
    <w:rsid w:val="00220C30"/>
    <w:rsid w:val="00222A3D"/>
    <w:rsid w:val="00231EBA"/>
    <w:rsid w:val="00240D67"/>
    <w:rsid w:val="00255B8B"/>
    <w:rsid w:val="00256708"/>
    <w:rsid w:val="00257CB2"/>
    <w:rsid w:val="002601BB"/>
    <w:rsid w:val="00261E03"/>
    <w:rsid w:val="00263FAF"/>
    <w:rsid w:val="0026762F"/>
    <w:rsid w:val="00276620"/>
    <w:rsid w:val="002A42AA"/>
    <w:rsid w:val="002C0225"/>
    <w:rsid w:val="002C09C8"/>
    <w:rsid w:val="002D10BF"/>
    <w:rsid w:val="002D19B4"/>
    <w:rsid w:val="002D47A2"/>
    <w:rsid w:val="002E4903"/>
    <w:rsid w:val="002F5C8E"/>
    <w:rsid w:val="0030000A"/>
    <w:rsid w:val="003024E3"/>
    <w:rsid w:val="00303B66"/>
    <w:rsid w:val="003125F9"/>
    <w:rsid w:val="00321C74"/>
    <w:rsid w:val="00325E56"/>
    <w:rsid w:val="0033054C"/>
    <w:rsid w:val="003703CE"/>
    <w:rsid w:val="00375227"/>
    <w:rsid w:val="00380328"/>
    <w:rsid w:val="003872E8"/>
    <w:rsid w:val="00387DEC"/>
    <w:rsid w:val="00390502"/>
    <w:rsid w:val="0039350F"/>
    <w:rsid w:val="00395477"/>
    <w:rsid w:val="003A4950"/>
    <w:rsid w:val="003B206D"/>
    <w:rsid w:val="003B214C"/>
    <w:rsid w:val="003B3C2B"/>
    <w:rsid w:val="003C2A10"/>
    <w:rsid w:val="003D54A5"/>
    <w:rsid w:val="003D63BC"/>
    <w:rsid w:val="003E51CB"/>
    <w:rsid w:val="003E5A49"/>
    <w:rsid w:val="003F1A5D"/>
    <w:rsid w:val="004028B5"/>
    <w:rsid w:val="004108D6"/>
    <w:rsid w:val="004201C1"/>
    <w:rsid w:val="00422005"/>
    <w:rsid w:val="004242B6"/>
    <w:rsid w:val="0043536B"/>
    <w:rsid w:val="00435E4C"/>
    <w:rsid w:val="0043728A"/>
    <w:rsid w:val="0044145A"/>
    <w:rsid w:val="00443319"/>
    <w:rsid w:val="0046731B"/>
    <w:rsid w:val="004A748D"/>
    <w:rsid w:val="004A76C2"/>
    <w:rsid w:val="004B7498"/>
    <w:rsid w:val="004C01D7"/>
    <w:rsid w:val="004C1EA9"/>
    <w:rsid w:val="004C3641"/>
    <w:rsid w:val="004C53EE"/>
    <w:rsid w:val="004C5FD3"/>
    <w:rsid w:val="004C6896"/>
    <w:rsid w:val="004D4A26"/>
    <w:rsid w:val="004E056E"/>
    <w:rsid w:val="004E45F0"/>
    <w:rsid w:val="004F1297"/>
    <w:rsid w:val="00505D65"/>
    <w:rsid w:val="0051028A"/>
    <w:rsid w:val="005162E1"/>
    <w:rsid w:val="00522839"/>
    <w:rsid w:val="00525B5A"/>
    <w:rsid w:val="005312D4"/>
    <w:rsid w:val="00535FB7"/>
    <w:rsid w:val="005438F4"/>
    <w:rsid w:val="00552F64"/>
    <w:rsid w:val="005550B0"/>
    <w:rsid w:val="00564532"/>
    <w:rsid w:val="00564EA5"/>
    <w:rsid w:val="00565D2A"/>
    <w:rsid w:val="005663FA"/>
    <w:rsid w:val="00567392"/>
    <w:rsid w:val="005700A0"/>
    <w:rsid w:val="005707DD"/>
    <w:rsid w:val="00576D61"/>
    <w:rsid w:val="00584D3D"/>
    <w:rsid w:val="00586DCB"/>
    <w:rsid w:val="005A0DB4"/>
    <w:rsid w:val="005A1328"/>
    <w:rsid w:val="005A3504"/>
    <w:rsid w:val="005A54B1"/>
    <w:rsid w:val="005B2840"/>
    <w:rsid w:val="005C0D49"/>
    <w:rsid w:val="005C4C42"/>
    <w:rsid w:val="005C6D44"/>
    <w:rsid w:val="005C6E54"/>
    <w:rsid w:val="005F0C7D"/>
    <w:rsid w:val="005F62BC"/>
    <w:rsid w:val="005F646E"/>
    <w:rsid w:val="00606E71"/>
    <w:rsid w:val="006248DB"/>
    <w:rsid w:val="00627BDD"/>
    <w:rsid w:val="00632B17"/>
    <w:rsid w:val="00641D90"/>
    <w:rsid w:val="00643BBD"/>
    <w:rsid w:val="00677499"/>
    <w:rsid w:val="00680145"/>
    <w:rsid w:val="0068402A"/>
    <w:rsid w:val="00684842"/>
    <w:rsid w:val="0068648A"/>
    <w:rsid w:val="006A0AB7"/>
    <w:rsid w:val="006A4B61"/>
    <w:rsid w:val="006B25DF"/>
    <w:rsid w:val="006B4F9A"/>
    <w:rsid w:val="006C0399"/>
    <w:rsid w:val="006D2594"/>
    <w:rsid w:val="006D48E3"/>
    <w:rsid w:val="006D62DF"/>
    <w:rsid w:val="006D7D7A"/>
    <w:rsid w:val="006F4EED"/>
    <w:rsid w:val="006F75D4"/>
    <w:rsid w:val="00705DAE"/>
    <w:rsid w:val="007233AB"/>
    <w:rsid w:val="0072510C"/>
    <w:rsid w:val="00726369"/>
    <w:rsid w:val="007407BA"/>
    <w:rsid w:val="00744693"/>
    <w:rsid w:val="007468B3"/>
    <w:rsid w:val="00754ECA"/>
    <w:rsid w:val="00761497"/>
    <w:rsid w:val="00767A6D"/>
    <w:rsid w:val="00767DC0"/>
    <w:rsid w:val="007A5EAE"/>
    <w:rsid w:val="007A7646"/>
    <w:rsid w:val="007B77F2"/>
    <w:rsid w:val="007D21F4"/>
    <w:rsid w:val="007F14C2"/>
    <w:rsid w:val="007F3614"/>
    <w:rsid w:val="007F745D"/>
    <w:rsid w:val="00806E57"/>
    <w:rsid w:val="00812638"/>
    <w:rsid w:val="0082004B"/>
    <w:rsid w:val="00836933"/>
    <w:rsid w:val="008421FA"/>
    <w:rsid w:val="008536BD"/>
    <w:rsid w:val="00861FC9"/>
    <w:rsid w:val="00867DA1"/>
    <w:rsid w:val="00872AA3"/>
    <w:rsid w:val="00873C81"/>
    <w:rsid w:val="008817E1"/>
    <w:rsid w:val="0088276B"/>
    <w:rsid w:val="008926ED"/>
    <w:rsid w:val="0089694D"/>
    <w:rsid w:val="00896F98"/>
    <w:rsid w:val="008A1015"/>
    <w:rsid w:val="008C372B"/>
    <w:rsid w:val="008D795C"/>
    <w:rsid w:val="008E6ACC"/>
    <w:rsid w:val="008E6BA8"/>
    <w:rsid w:val="009005EE"/>
    <w:rsid w:val="00905928"/>
    <w:rsid w:val="0091057F"/>
    <w:rsid w:val="00924097"/>
    <w:rsid w:val="0092717E"/>
    <w:rsid w:val="00932F73"/>
    <w:rsid w:val="0094295D"/>
    <w:rsid w:val="00953E1E"/>
    <w:rsid w:val="00957249"/>
    <w:rsid w:val="00966FD8"/>
    <w:rsid w:val="00975C11"/>
    <w:rsid w:val="00982F08"/>
    <w:rsid w:val="00983272"/>
    <w:rsid w:val="0098376F"/>
    <w:rsid w:val="00983C0D"/>
    <w:rsid w:val="0099708A"/>
    <w:rsid w:val="009A3A65"/>
    <w:rsid w:val="009A4BC3"/>
    <w:rsid w:val="009B4C46"/>
    <w:rsid w:val="009B743F"/>
    <w:rsid w:val="009D341F"/>
    <w:rsid w:val="009D3D17"/>
    <w:rsid w:val="009D6241"/>
    <w:rsid w:val="009D73E0"/>
    <w:rsid w:val="009E5142"/>
    <w:rsid w:val="009E5854"/>
    <w:rsid w:val="009F09DD"/>
    <w:rsid w:val="009F4871"/>
    <w:rsid w:val="009F78C3"/>
    <w:rsid w:val="00A00399"/>
    <w:rsid w:val="00A225A0"/>
    <w:rsid w:val="00A27EF7"/>
    <w:rsid w:val="00A348B8"/>
    <w:rsid w:val="00A52855"/>
    <w:rsid w:val="00A52BD6"/>
    <w:rsid w:val="00A62C3C"/>
    <w:rsid w:val="00A6325F"/>
    <w:rsid w:val="00A7303A"/>
    <w:rsid w:val="00A76BAD"/>
    <w:rsid w:val="00A86C42"/>
    <w:rsid w:val="00A9155C"/>
    <w:rsid w:val="00A974FE"/>
    <w:rsid w:val="00AA0244"/>
    <w:rsid w:val="00AA55CD"/>
    <w:rsid w:val="00AA6F0C"/>
    <w:rsid w:val="00AA70C4"/>
    <w:rsid w:val="00AB6204"/>
    <w:rsid w:val="00AB71D8"/>
    <w:rsid w:val="00AE009C"/>
    <w:rsid w:val="00B07667"/>
    <w:rsid w:val="00B076FA"/>
    <w:rsid w:val="00B15F26"/>
    <w:rsid w:val="00B1779C"/>
    <w:rsid w:val="00B20FD4"/>
    <w:rsid w:val="00B22BB3"/>
    <w:rsid w:val="00B264DE"/>
    <w:rsid w:val="00B35BE3"/>
    <w:rsid w:val="00B45917"/>
    <w:rsid w:val="00B57337"/>
    <w:rsid w:val="00B6333C"/>
    <w:rsid w:val="00B71B5E"/>
    <w:rsid w:val="00B77E71"/>
    <w:rsid w:val="00B77E77"/>
    <w:rsid w:val="00B878DB"/>
    <w:rsid w:val="00B96F46"/>
    <w:rsid w:val="00BB1D09"/>
    <w:rsid w:val="00BB53DF"/>
    <w:rsid w:val="00BB6CF1"/>
    <w:rsid w:val="00BD512F"/>
    <w:rsid w:val="00BE429E"/>
    <w:rsid w:val="00BF0259"/>
    <w:rsid w:val="00BF0674"/>
    <w:rsid w:val="00BF70E2"/>
    <w:rsid w:val="00C1227E"/>
    <w:rsid w:val="00C131BD"/>
    <w:rsid w:val="00C20A74"/>
    <w:rsid w:val="00C21E2A"/>
    <w:rsid w:val="00C25C4B"/>
    <w:rsid w:val="00C30F2D"/>
    <w:rsid w:val="00C32139"/>
    <w:rsid w:val="00C43B44"/>
    <w:rsid w:val="00C44DD5"/>
    <w:rsid w:val="00C46975"/>
    <w:rsid w:val="00C510DF"/>
    <w:rsid w:val="00C61E72"/>
    <w:rsid w:val="00C6639A"/>
    <w:rsid w:val="00C73B1B"/>
    <w:rsid w:val="00C75B03"/>
    <w:rsid w:val="00C82F1A"/>
    <w:rsid w:val="00C83847"/>
    <w:rsid w:val="00C85497"/>
    <w:rsid w:val="00C86376"/>
    <w:rsid w:val="00C92F43"/>
    <w:rsid w:val="00CB397F"/>
    <w:rsid w:val="00CD6233"/>
    <w:rsid w:val="00CE6B2A"/>
    <w:rsid w:val="00CE7E74"/>
    <w:rsid w:val="00CF3281"/>
    <w:rsid w:val="00CF6E76"/>
    <w:rsid w:val="00D023C6"/>
    <w:rsid w:val="00D25855"/>
    <w:rsid w:val="00D32897"/>
    <w:rsid w:val="00D32CF4"/>
    <w:rsid w:val="00D5081A"/>
    <w:rsid w:val="00D54B2C"/>
    <w:rsid w:val="00D57AD8"/>
    <w:rsid w:val="00D60C86"/>
    <w:rsid w:val="00D8416D"/>
    <w:rsid w:val="00D8591C"/>
    <w:rsid w:val="00D929EA"/>
    <w:rsid w:val="00DF17BE"/>
    <w:rsid w:val="00DF1C2F"/>
    <w:rsid w:val="00E34C87"/>
    <w:rsid w:val="00E34EE6"/>
    <w:rsid w:val="00E365C1"/>
    <w:rsid w:val="00E86FA0"/>
    <w:rsid w:val="00EB4774"/>
    <w:rsid w:val="00EB5692"/>
    <w:rsid w:val="00ED73AA"/>
    <w:rsid w:val="00EE39E3"/>
    <w:rsid w:val="00EE6AC3"/>
    <w:rsid w:val="00EF6660"/>
    <w:rsid w:val="00F05B27"/>
    <w:rsid w:val="00F07C58"/>
    <w:rsid w:val="00F173DE"/>
    <w:rsid w:val="00F24910"/>
    <w:rsid w:val="00F31D5F"/>
    <w:rsid w:val="00F41B31"/>
    <w:rsid w:val="00F4564D"/>
    <w:rsid w:val="00F53FDC"/>
    <w:rsid w:val="00F67F9E"/>
    <w:rsid w:val="00F74530"/>
    <w:rsid w:val="00F854DA"/>
    <w:rsid w:val="00FA7558"/>
    <w:rsid w:val="00FB425B"/>
    <w:rsid w:val="00FC016E"/>
    <w:rsid w:val="00FC0EC3"/>
    <w:rsid w:val="00FC6AF3"/>
    <w:rsid w:val="00FD6ADB"/>
    <w:rsid w:val="00FE0A6B"/>
    <w:rsid w:val="00FF53D3"/>
    <w:rsid w:val="05A28523"/>
    <w:rsid w:val="292C025E"/>
    <w:rsid w:val="3A86768C"/>
    <w:rsid w:val="66D7F8E3"/>
    <w:rsid w:val="7178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24D1A"/>
  <w15:docId w15:val="{4AB28A48-024A-4F9E-B297-F89C33FF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7" w:lineRule="auto"/>
      <w:ind w:left="109" w:right="33" w:hanging="9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aliases w:val="GW Heading 1"/>
    <w:basedOn w:val="Normal"/>
    <w:next w:val="BodyText"/>
    <w:link w:val="Heading1Char"/>
    <w:uiPriority w:val="9"/>
    <w:qFormat/>
    <w:rsid w:val="007A7646"/>
    <w:pPr>
      <w:widowControl w:val="0"/>
      <w:autoSpaceDE w:val="0"/>
      <w:autoSpaceDN w:val="0"/>
      <w:spacing w:after="120" w:line="288" w:lineRule="auto"/>
      <w:ind w:left="1166" w:right="720" w:firstLine="0"/>
      <w:outlineLvl w:val="0"/>
    </w:pPr>
    <w:rPr>
      <w:rFonts w:ascii="Arial" w:eastAsia="Arial" w:hAnsi="Arial" w:cs="Arial"/>
      <w:b/>
      <w:bCs/>
      <w:color w:val="2B3A44"/>
      <w:sz w:val="40"/>
      <w:szCs w:val="40"/>
    </w:rPr>
  </w:style>
  <w:style w:type="paragraph" w:styleId="Heading2">
    <w:name w:val="heading 2"/>
    <w:aliases w:val="GW Heading 2"/>
    <w:basedOn w:val="BodyText"/>
    <w:link w:val="Heading2Char"/>
    <w:uiPriority w:val="9"/>
    <w:unhideWhenUsed/>
    <w:qFormat/>
    <w:rsid w:val="00A52BD6"/>
    <w:pPr>
      <w:spacing w:after="0" w:line="240" w:lineRule="auto"/>
      <w:outlineLvl w:val="1"/>
    </w:pPr>
    <w:rPr>
      <w:b/>
      <w:bCs/>
      <w:color w:val="55206E"/>
      <w:sz w:val="28"/>
      <w:szCs w:val="28"/>
    </w:rPr>
  </w:style>
  <w:style w:type="paragraph" w:styleId="Heading3">
    <w:name w:val="heading 3"/>
    <w:aliases w:val="GW Heading 3"/>
    <w:basedOn w:val="Heading2"/>
    <w:next w:val="Normal"/>
    <w:link w:val="Heading3Char"/>
    <w:uiPriority w:val="9"/>
    <w:unhideWhenUsed/>
    <w:qFormat/>
    <w:rsid w:val="007A7646"/>
    <w:pPr>
      <w:outlineLvl w:val="2"/>
    </w:pPr>
    <w:rPr>
      <w:color w:val="00961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7C58"/>
    <w:rPr>
      <w:color w:val="1931E3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7C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7C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7C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7C5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C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C5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9F48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C7D"/>
    <w:rPr>
      <w:rFonts w:ascii="Segoe UI" w:eastAsia="Times New Roman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unhideWhenUsed/>
    <w:rsid w:val="00A915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0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399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C0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399"/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aliases w:val="GW Body Text"/>
    <w:basedOn w:val="Normal"/>
    <w:link w:val="BodyTextChar"/>
    <w:uiPriority w:val="1"/>
    <w:qFormat/>
    <w:rsid w:val="00061296"/>
    <w:pPr>
      <w:widowControl w:val="0"/>
      <w:autoSpaceDE w:val="0"/>
      <w:autoSpaceDN w:val="0"/>
      <w:spacing w:after="120" w:line="312" w:lineRule="auto"/>
      <w:ind w:left="0" w:right="0" w:firstLine="0"/>
    </w:pPr>
    <w:rPr>
      <w:rFonts w:ascii="Arial" w:eastAsia="Arial" w:hAnsi="Arial" w:cs="Arial"/>
      <w:color w:val="2B3A44"/>
    </w:rPr>
  </w:style>
  <w:style w:type="character" w:customStyle="1" w:styleId="BodyTextChar">
    <w:name w:val="Body Text Char"/>
    <w:aliases w:val="GW Body Text Char"/>
    <w:basedOn w:val="DefaultParagraphFont"/>
    <w:link w:val="BodyText"/>
    <w:uiPriority w:val="1"/>
    <w:rsid w:val="00061296"/>
    <w:rPr>
      <w:rFonts w:ascii="Arial" w:eastAsia="Arial" w:hAnsi="Arial" w:cs="Arial"/>
      <w:color w:val="2B3A44"/>
    </w:rPr>
  </w:style>
  <w:style w:type="paragraph" w:customStyle="1" w:styleId="GWBullets">
    <w:name w:val="GW Bullets"/>
    <w:basedOn w:val="ListParagraph"/>
    <w:qFormat/>
    <w:rsid w:val="00BF70E2"/>
    <w:pPr>
      <w:widowControl w:val="0"/>
      <w:numPr>
        <w:numId w:val="24"/>
      </w:numPr>
      <w:autoSpaceDE w:val="0"/>
      <w:autoSpaceDN w:val="0"/>
      <w:spacing w:after="60" w:line="288" w:lineRule="auto"/>
      <w:ind w:right="0"/>
      <w:contextualSpacing w:val="0"/>
    </w:pPr>
    <w:rPr>
      <w:rFonts w:ascii="Arial" w:eastAsia="Arial" w:hAnsi="Arial" w:cs="Arial"/>
      <w:color w:val="2B3A44"/>
    </w:rPr>
  </w:style>
  <w:style w:type="paragraph" w:customStyle="1" w:styleId="GWBullets2">
    <w:name w:val="GW Bullets 2"/>
    <w:basedOn w:val="GWBullets"/>
    <w:qFormat/>
    <w:rsid w:val="007A7646"/>
    <w:pPr>
      <w:numPr>
        <w:ilvl w:val="1"/>
      </w:numPr>
    </w:pPr>
  </w:style>
  <w:style w:type="paragraph" w:customStyle="1" w:styleId="GWCalloutText">
    <w:name w:val="GW Callout Text"/>
    <w:basedOn w:val="Normal"/>
    <w:qFormat/>
    <w:rsid w:val="007A7646"/>
    <w:pPr>
      <w:widowControl w:val="0"/>
      <w:autoSpaceDE w:val="0"/>
      <w:autoSpaceDN w:val="0"/>
      <w:spacing w:after="0" w:line="312" w:lineRule="auto"/>
      <w:ind w:left="0" w:right="0" w:firstLine="0"/>
    </w:pPr>
    <w:rPr>
      <w:rFonts w:ascii="Arial" w:eastAsia="Arial" w:hAnsi="Arial" w:cs="Arial"/>
      <w:b/>
      <w:bCs/>
      <w:color w:val="2B3A44"/>
    </w:rPr>
  </w:style>
  <w:style w:type="paragraph" w:customStyle="1" w:styleId="GWCaptions">
    <w:name w:val="GW Captions"/>
    <w:basedOn w:val="BodyText"/>
    <w:qFormat/>
    <w:rsid w:val="007A7646"/>
    <w:pPr>
      <w:ind w:right="1080"/>
    </w:pPr>
    <w:rPr>
      <w:sz w:val="16"/>
      <w:szCs w:val="16"/>
    </w:rPr>
  </w:style>
  <w:style w:type="paragraph" w:customStyle="1" w:styleId="GWSubhead1">
    <w:name w:val="GW Subhead 1"/>
    <w:basedOn w:val="BodyText"/>
    <w:qFormat/>
    <w:rsid w:val="007A7646"/>
    <w:pPr>
      <w:spacing w:after="360" w:line="240" w:lineRule="auto"/>
    </w:pPr>
    <w:rPr>
      <w:noProof/>
      <w:color w:val="FFFFFF" w:themeColor="background1"/>
      <w:sz w:val="28"/>
      <w:szCs w:val="28"/>
    </w:rPr>
  </w:style>
  <w:style w:type="paragraph" w:customStyle="1" w:styleId="GWSubheadDate">
    <w:name w:val="GW Subhead Date"/>
    <w:basedOn w:val="BodyText"/>
    <w:qFormat/>
    <w:rsid w:val="007A7646"/>
    <w:pPr>
      <w:spacing w:after="480"/>
    </w:pPr>
    <w:rPr>
      <w:noProof/>
      <w:color w:val="FFFFFF" w:themeColor="background1"/>
      <w:sz w:val="24"/>
      <w:szCs w:val="24"/>
    </w:rPr>
  </w:style>
  <w:style w:type="paragraph" w:customStyle="1" w:styleId="GWTableColumnHeader">
    <w:name w:val="GW Table Column Header"/>
    <w:uiPriority w:val="23"/>
    <w:qFormat/>
    <w:rsid w:val="0004031F"/>
    <w:pPr>
      <w:keepNext/>
      <w:keepLines/>
      <w:spacing w:before="120" w:after="120" w:line="240" w:lineRule="auto"/>
    </w:pPr>
    <w:rPr>
      <w:rFonts w:ascii="Arial" w:eastAsia="Calibri" w:hAnsi="Arial" w:cs="Arial"/>
      <w:color w:val="2B3A44"/>
      <w:szCs w:val="20"/>
      <w:lang w:eastAsia="ko-KR"/>
    </w:rPr>
  </w:style>
  <w:style w:type="paragraph" w:customStyle="1" w:styleId="GWTableText">
    <w:name w:val="GW Table Text"/>
    <w:qFormat/>
    <w:rsid w:val="007A7646"/>
    <w:pPr>
      <w:keepNext/>
      <w:keepLines/>
      <w:spacing w:before="120" w:after="120" w:line="264" w:lineRule="auto"/>
    </w:pPr>
    <w:rPr>
      <w:rFonts w:ascii="Arial" w:eastAsia="Arial" w:hAnsi="Arial" w:cs="Arial"/>
      <w:sz w:val="20"/>
      <w:lang w:eastAsia="ko-KR"/>
    </w:rPr>
  </w:style>
  <w:style w:type="paragraph" w:customStyle="1" w:styleId="GWTableTextBold">
    <w:name w:val="GW Table Text Bold"/>
    <w:basedOn w:val="Normal"/>
    <w:qFormat/>
    <w:rsid w:val="009A4BC3"/>
    <w:pPr>
      <w:spacing w:after="60" w:line="240" w:lineRule="auto"/>
      <w:ind w:left="360" w:right="0" w:firstLine="0"/>
    </w:pPr>
    <w:rPr>
      <w:rFonts w:ascii="Arial" w:eastAsia="Arial" w:hAnsi="Arial" w:cs="Arial"/>
      <w:b/>
      <w:color w:val="2B3A44"/>
      <w:lang w:eastAsia="ko-KR"/>
    </w:rPr>
  </w:style>
  <w:style w:type="paragraph" w:customStyle="1" w:styleId="GWTableTitle">
    <w:name w:val="GW Table Title"/>
    <w:next w:val="Normal"/>
    <w:uiPriority w:val="22"/>
    <w:qFormat/>
    <w:rsid w:val="007A7646"/>
    <w:pPr>
      <w:keepNext/>
      <w:keepLines/>
      <w:framePr w:hSpace="180" w:wrap="around" w:vAnchor="text" w:hAnchor="text" w:xAlign="center" w:y="-1"/>
      <w:spacing w:before="120" w:after="120" w:line="240" w:lineRule="auto"/>
    </w:pPr>
    <w:rPr>
      <w:rFonts w:ascii="Arial" w:eastAsia="Calibri" w:hAnsi="Arial" w:cs="Arial"/>
      <w:b/>
      <w:color w:val="55206E"/>
      <w:sz w:val="24"/>
      <w:szCs w:val="24"/>
    </w:rPr>
  </w:style>
  <w:style w:type="paragraph" w:customStyle="1" w:styleId="GWTableTitle2">
    <w:name w:val="GW Table Title 2"/>
    <w:next w:val="BodyText"/>
    <w:qFormat/>
    <w:rsid w:val="007A7646"/>
    <w:pPr>
      <w:widowControl w:val="0"/>
      <w:autoSpaceDE w:val="0"/>
      <w:autoSpaceDN w:val="0"/>
      <w:spacing w:after="120" w:line="240" w:lineRule="auto"/>
    </w:pPr>
    <w:rPr>
      <w:rFonts w:ascii="Arial" w:eastAsia="Arial" w:hAnsi="Arial" w:cs="Arial"/>
      <w:color w:val="55206E"/>
      <w:sz w:val="24"/>
      <w:szCs w:val="24"/>
    </w:rPr>
  </w:style>
  <w:style w:type="paragraph" w:customStyle="1" w:styleId="GWTOC">
    <w:name w:val="GW TOC"/>
    <w:qFormat/>
    <w:rsid w:val="007A7646"/>
    <w:pPr>
      <w:widowControl w:val="0"/>
      <w:tabs>
        <w:tab w:val="right" w:leader="dot" w:pos="5940"/>
        <w:tab w:val="left" w:leader="dot" w:pos="10800"/>
      </w:tabs>
      <w:autoSpaceDE w:val="0"/>
      <w:autoSpaceDN w:val="0"/>
      <w:spacing w:after="240" w:line="312" w:lineRule="auto"/>
      <w:ind w:left="1440" w:right="41" w:hanging="274"/>
      <w:mirrorIndents/>
    </w:pPr>
    <w:rPr>
      <w:rFonts w:ascii="Arial" w:eastAsia="Arial" w:hAnsi="Arial" w:cs="Arial"/>
      <w:color w:val="2B3A44"/>
    </w:rPr>
  </w:style>
  <w:style w:type="character" w:customStyle="1" w:styleId="Heading1Char">
    <w:name w:val="Heading 1 Char"/>
    <w:aliases w:val="GW Heading 1 Char"/>
    <w:basedOn w:val="DefaultParagraphFont"/>
    <w:link w:val="Heading1"/>
    <w:uiPriority w:val="9"/>
    <w:rsid w:val="007A7646"/>
    <w:rPr>
      <w:rFonts w:ascii="Arial" w:eastAsia="Arial" w:hAnsi="Arial" w:cs="Arial"/>
      <w:b/>
      <w:bCs/>
      <w:color w:val="2B3A44"/>
      <w:sz w:val="40"/>
      <w:szCs w:val="40"/>
    </w:rPr>
  </w:style>
  <w:style w:type="character" w:customStyle="1" w:styleId="Heading2Char">
    <w:name w:val="Heading 2 Char"/>
    <w:aliases w:val="GW Heading 2 Char"/>
    <w:basedOn w:val="DefaultParagraphFont"/>
    <w:link w:val="Heading2"/>
    <w:uiPriority w:val="9"/>
    <w:rsid w:val="00A52BD6"/>
    <w:rPr>
      <w:rFonts w:ascii="Arial" w:eastAsia="Arial" w:hAnsi="Arial" w:cs="Arial"/>
      <w:b/>
      <w:bCs/>
      <w:color w:val="55206E"/>
      <w:sz w:val="28"/>
      <w:szCs w:val="28"/>
    </w:rPr>
  </w:style>
  <w:style w:type="character" w:customStyle="1" w:styleId="Heading3Char">
    <w:name w:val="Heading 3 Char"/>
    <w:aliases w:val="GW Heading 3 Char"/>
    <w:basedOn w:val="DefaultParagraphFont"/>
    <w:link w:val="Heading3"/>
    <w:uiPriority w:val="9"/>
    <w:rsid w:val="007A7646"/>
    <w:rPr>
      <w:rFonts w:ascii="Arial" w:eastAsia="Arial" w:hAnsi="Arial" w:cs="Arial"/>
      <w:b/>
      <w:bCs/>
      <w:color w:val="00961D"/>
      <w:sz w:val="24"/>
      <w:szCs w:val="24"/>
    </w:rPr>
  </w:style>
  <w:style w:type="paragraph" w:styleId="Title">
    <w:name w:val="Title"/>
    <w:aliases w:val="GW Title"/>
    <w:next w:val="Normal"/>
    <w:link w:val="TitleChar"/>
    <w:uiPriority w:val="10"/>
    <w:qFormat/>
    <w:rsid w:val="007A7646"/>
    <w:pPr>
      <w:widowControl w:val="0"/>
      <w:autoSpaceDE w:val="0"/>
      <w:autoSpaceDN w:val="0"/>
      <w:spacing w:before="480" w:after="240" w:line="240" w:lineRule="auto"/>
      <w:ind w:left="1166"/>
    </w:pPr>
    <w:rPr>
      <w:rFonts w:ascii="Arial" w:eastAsia="Arial" w:hAnsi="Arial" w:cs="Arial"/>
      <w:b/>
      <w:bCs/>
      <w:noProof/>
      <w:color w:val="00EEAE"/>
      <w:sz w:val="52"/>
      <w:szCs w:val="52"/>
    </w:rPr>
  </w:style>
  <w:style w:type="character" w:customStyle="1" w:styleId="TitleChar">
    <w:name w:val="Title Char"/>
    <w:aliases w:val="GW Title Char"/>
    <w:basedOn w:val="DefaultParagraphFont"/>
    <w:link w:val="Title"/>
    <w:uiPriority w:val="10"/>
    <w:rsid w:val="007A7646"/>
    <w:rPr>
      <w:rFonts w:ascii="Arial" w:eastAsia="Arial" w:hAnsi="Arial" w:cs="Arial"/>
      <w:b/>
      <w:bCs/>
      <w:noProof/>
      <w:color w:val="00EEAE"/>
      <w:sz w:val="52"/>
      <w:szCs w:val="52"/>
    </w:rPr>
  </w:style>
  <w:style w:type="character" w:styleId="Mention">
    <w:name w:val="Mention"/>
    <w:basedOn w:val="DefaultParagraphFont"/>
    <w:uiPriority w:val="99"/>
    <w:unhideWhenUsed/>
    <w:rsid w:val="00ED73A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E39E3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table" w:customStyle="1" w:styleId="TableGrid1">
    <w:name w:val="Table Grid1"/>
    <w:rsid w:val="006F75D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3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ateofmissouri.wufoo.com/forms/dss-registration-for-public-testimony-advisory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bmclinicalservices@gainwelltechnologies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WTContracting@gainwelltechnologies.co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mydss.mo.gov/mhd/pharmacy-committe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WT_Theme_1">
  <a:themeElements>
    <a:clrScheme name="GWT">
      <a:dk1>
        <a:srgbClr val="2B3A44"/>
      </a:dk1>
      <a:lt1>
        <a:sysClr val="window" lastClr="FFFFFF"/>
      </a:lt1>
      <a:dk2>
        <a:srgbClr val="44546A"/>
      </a:dk2>
      <a:lt2>
        <a:srgbClr val="E7E6E6"/>
      </a:lt2>
      <a:accent1>
        <a:srgbClr val="00EEAE"/>
      </a:accent1>
      <a:accent2>
        <a:srgbClr val="53206E"/>
      </a:accent2>
      <a:accent3>
        <a:srgbClr val="009681"/>
      </a:accent3>
      <a:accent4>
        <a:srgbClr val="1931E3"/>
      </a:accent4>
      <a:accent5>
        <a:srgbClr val="00A9E0"/>
      </a:accent5>
      <a:accent6>
        <a:srgbClr val="CB29F5"/>
      </a:accent6>
      <a:hlink>
        <a:srgbClr val="1931E3"/>
      </a:hlink>
      <a:folHlink>
        <a:srgbClr val="55206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9CA2A20722E744AE1DEE65D39BFE43" ma:contentTypeVersion="6" ma:contentTypeDescription="Create a new document." ma:contentTypeScope="" ma:versionID="c5c5668e672881622083d1421f9af362">
  <xsd:schema xmlns:xsd="http://www.w3.org/2001/XMLSchema" xmlns:xs="http://www.w3.org/2001/XMLSchema" xmlns:p="http://schemas.microsoft.com/office/2006/metadata/properties" xmlns:ns2="959d1e81-36b6-469d-b911-f3a3b5d67b01" xmlns:ns3="34268a20-9951-44f5-aaf5-e28cb8a118ee" targetNamespace="http://schemas.microsoft.com/office/2006/metadata/properties" ma:root="true" ma:fieldsID="f94f7673504b1ca426da98cbeba4a93c" ns2:_="" ns3:_="">
    <xsd:import namespace="959d1e81-36b6-469d-b911-f3a3b5d67b01"/>
    <xsd:import namespace="34268a20-9951-44f5-aaf5-e28cb8a11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Record_x0020_Type" minOccurs="0"/>
                <xsd:element ref="ns3:AdCom_x0020_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d1e81-36b6-469d-b911-f3a3b5d67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8a20-9951-44f5-aaf5-e28cb8a118ee" elementFormDefault="qualified">
    <xsd:import namespace="http://schemas.microsoft.com/office/2006/documentManagement/types"/>
    <xsd:import namespace="http://schemas.microsoft.com/office/infopath/2007/PartnerControls"/>
    <xsd:element name="Record_x0020_Type" ma:index="10" nillable="true" ma:displayName="Record Type" ma:format="Dropdown" ma:internalName="Record_x0020_Type">
      <xsd:simpleType>
        <xsd:restriction base="dms:Choice">
          <xsd:enumeration value="DSP Web Posting"/>
          <xsd:enumeration value="PDL Announcements"/>
          <xsd:enumeration value="PDL Recommendations"/>
          <xsd:enumeration value="PDL Edit Proposals"/>
          <xsd:enumeration value="Trifold"/>
        </xsd:restriction>
      </xsd:simpleType>
    </xsd:element>
    <xsd:element name="AdCom_x0020_Date" ma:index="11" nillable="true" ma:displayName="AdCom Date" ma:format="DateOnly" ma:internalName="AdCom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_x0020_Type xmlns="34268a20-9951-44f5-aaf5-e28cb8a118ee">PDL Announcements</Record_x0020_Type>
    <AdCom_x0020_Date xmlns="34268a20-9951-44f5-aaf5-e28cb8a118ee" xsi:nil="true"/>
  </documentManagement>
</p:properties>
</file>

<file path=customXml/itemProps1.xml><?xml version="1.0" encoding="utf-8"?>
<ds:datastoreItem xmlns:ds="http://schemas.openxmlformats.org/officeDocument/2006/customXml" ds:itemID="{E8E82A63-F77B-4C85-8C39-20EBDD44A7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8A2B2B-7959-4FE0-A14F-234A62BB6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d1e81-36b6-469d-b911-f3a3b5d67b01"/>
    <ds:schemaRef ds:uri="34268a20-9951-44f5-aaf5-e28cb8a11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6D4615-2BCE-4CDB-96FD-E55167E532C4}">
  <ds:schemaRefs>
    <ds:schemaRef ds:uri="http://purl.org/dc/elements/1.1/"/>
    <ds:schemaRef ds:uri="http://schemas.microsoft.com/office/infopath/2007/PartnerControls"/>
    <ds:schemaRef ds:uri="34268a20-9951-44f5-aaf5-e28cb8a118ee"/>
    <ds:schemaRef ds:uri="http://purl.org/dc/terms/"/>
    <ds:schemaRef ds:uri="http://schemas.microsoft.com/office/2006/metadata/properties"/>
    <ds:schemaRef ds:uri="http://schemas.microsoft.com/office/2006/documentManagement/types"/>
    <ds:schemaRef ds:uri="959d1e81-36b6-469d-b911-f3a3b5d67b01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1c35869-6495-4b3a-952e-bc5e37f13032}" enabled="1" method="Standard" siteId="{c663f89c-ef9b-418f-bd3d-41e46c0ce0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661</Words>
  <Characters>3773</Characters>
  <Application>Microsoft Office Word</Application>
  <DocSecurity>10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PDL Announcement_September-October 2022</vt:lpstr>
    </vt:vector>
  </TitlesOfParts>
  <Company/>
  <LinksUpToDate>false</LinksUpToDate>
  <CharactersWithSpaces>4426</CharactersWithSpaces>
  <SharedDoc>false</SharedDoc>
  <HLinks>
    <vt:vector size="18" baseType="variant">
      <vt:variant>
        <vt:i4>2883655</vt:i4>
      </vt:variant>
      <vt:variant>
        <vt:i4>9</vt:i4>
      </vt:variant>
      <vt:variant>
        <vt:i4>0</vt:i4>
      </vt:variant>
      <vt:variant>
        <vt:i4>5</vt:i4>
      </vt:variant>
      <vt:variant>
        <vt:lpwstr>mailto:sandy.kapur@gainwelltechnologies.com</vt:lpwstr>
      </vt:variant>
      <vt:variant>
        <vt:lpwstr/>
      </vt:variant>
      <vt:variant>
        <vt:i4>5111916</vt:i4>
      </vt:variant>
      <vt:variant>
        <vt:i4>6</vt:i4>
      </vt:variant>
      <vt:variant>
        <vt:i4>0</vt:i4>
      </vt:variant>
      <vt:variant>
        <vt:i4>5</vt:i4>
      </vt:variant>
      <vt:variant>
        <vt:lpwstr>mailto:GWTContracting@gainwelltechnologies.com</vt:lpwstr>
      </vt:variant>
      <vt:variant>
        <vt:lpwstr/>
      </vt:variant>
      <vt:variant>
        <vt:i4>2162757</vt:i4>
      </vt:variant>
      <vt:variant>
        <vt:i4>3</vt:i4>
      </vt:variant>
      <vt:variant>
        <vt:i4>0</vt:i4>
      </vt:variant>
      <vt:variant>
        <vt:i4>5</vt:i4>
      </vt:variant>
      <vt:variant>
        <vt:lpwstr>mailto:karen.powell@gainwelltechnologies.com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PDL Announcement_September-October 2022</dc:title>
  <dc:subject/>
  <dc:creator>mfast</dc:creator>
  <cp:keywords/>
  <cp:lastModifiedBy>Heriford, Katherine</cp:lastModifiedBy>
  <cp:revision>122</cp:revision>
  <dcterms:created xsi:type="dcterms:W3CDTF">2023-06-14T19:44:00Z</dcterms:created>
  <dcterms:modified xsi:type="dcterms:W3CDTF">2026-07-06T13:30:00Z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0x0101005E9CA2A20722E744AE1DEE65D39BFE43</vt:lpwstr>
  </property>
  <property fmtid="{D5CDD505-2E9C-101B-9397-08002B2CF9AE}" pid="3" name="docLang">
    <vt:lpwstr>en</vt:lpwstr>
  </property>
</Properties>
</file>