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14622EF3" w:rsidR="004C5767" w:rsidRPr="008859E1" w:rsidRDefault="004C5767" w:rsidP="00D27533">
      <w:pPr>
        <w:pStyle w:val="tbody"/>
        <w:rPr>
          <w:b w:val="0"/>
          <w:bCs/>
        </w:rPr>
      </w:pPr>
      <w:r w:rsidRPr="00C02553">
        <w:t>Drug/Drug Class:</w:t>
      </w:r>
      <w:r w:rsidR="003B4820">
        <w:t xml:space="preserve"> </w:t>
      </w:r>
      <w:r w:rsidR="00536558" w:rsidRPr="00536558">
        <w:rPr>
          <w:b w:val="0"/>
          <w:bCs/>
        </w:rPr>
        <w:t>Isturisa Clinical Edit</w:t>
      </w:r>
    </w:p>
    <w:p w14:paraId="594EAD78" w14:textId="77777777" w:rsidR="00371119" w:rsidRDefault="004C5767" w:rsidP="15EB50BA">
      <w:pPr>
        <w:pStyle w:val="tbody"/>
      </w:pPr>
      <w:r w:rsidRPr="00C02553">
        <w:t xml:space="preserve">First Implementation Date: </w:t>
      </w:r>
      <w:r w:rsidR="00371119" w:rsidRPr="00371119">
        <w:rPr>
          <w:b w:val="0"/>
          <w:bCs/>
        </w:rPr>
        <w:t>April 22, 2021</w:t>
      </w:r>
    </w:p>
    <w:p w14:paraId="4B7D760D" w14:textId="460C1A03" w:rsidR="004C5767" w:rsidRPr="00D232D9" w:rsidRDefault="00D95E68" w:rsidP="15EB50BA">
      <w:pPr>
        <w:pStyle w:val="tbody"/>
        <w:rPr>
          <w:b w:val="0"/>
        </w:rPr>
      </w:pPr>
      <w:r>
        <w:t>Proposed</w:t>
      </w:r>
      <w:r w:rsidR="004C5767">
        <w:t xml:space="preserve"> Date:</w:t>
      </w:r>
      <w:r w:rsidR="00065C22">
        <w:t xml:space="preserve"> </w:t>
      </w:r>
      <w:r w:rsidR="00B00EDC">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539EE73" w:rsidR="004C5767" w:rsidRPr="00D27533" w:rsidRDefault="004C5767" w:rsidP="00D27533">
      <w:pPr>
        <w:pStyle w:val="tbody"/>
        <w:rPr>
          <w:b w:val="0"/>
          <w:bCs/>
          <w:spacing w:val="-3"/>
        </w:rPr>
      </w:pPr>
      <w:r w:rsidRPr="00C02553">
        <w:t xml:space="preserve">Criteria Status: </w:t>
      </w:r>
      <w:r w:rsidR="00566BE4" w:rsidRPr="00901981">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0E2B8368" w:rsidR="00D47996" w:rsidRDefault="79EEA449" w:rsidP="00696E3A">
      <w:r>
        <w:t>Ensure appropriate utilization and control of</w:t>
      </w:r>
      <w:r w:rsidR="00C26B1E" w:rsidRPr="00C26B1E">
        <w:rPr>
          <w:rFonts w:cs="Arial"/>
          <w:spacing w:val="-3"/>
        </w:rPr>
        <w:t xml:space="preserve"> </w:t>
      </w:r>
      <w:r w:rsidR="00C26B1E" w:rsidRPr="00DB1BC8">
        <w:rPr>
          <w:rFonts w:cs="Arial"/>
          <w:spacing w:val="-3"/>
        </w:rPr>
        <w:t>Isturisa</w:t>
      </w:r>
      <w:r w:rsidR="00C26B1E" w:rsidRPr="00DB1BC8">
        <w:rPr>
          <w:rFonts w:cs="Arial"/>
          <w:spacing w:val="-3"/>
          <w:vertAlign w:val="superscript"/>
        </w:rPr>
        <w:t>®</w:t>
      </w:r>
      <w:r w:rsidR="00C26B1E" w:rsidRPr="00DB1BC8">
        <w:rPr>
          <w:rFonts w:cs="Arial"/>
          <w:spacing w:val="-3"/>
        </w:rPr>
        <w:t xml:space="preserve"> (osilodrostat)</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32D409CE" w14:textId="6829EDCB" w:rsidR="004360C5" w:rsidRDefault="004360C5" w:rsidP="004360C5">
      <w:pPr>
        <w:pStyle w:val="Header"/>
        <w:rPr>
          <w:rFonts w:cs="Arial"/>
          <w:spacing w:val="-3"/>
          <w:sz w:val="20"/>
        </w:rPr>
      </w:pPr>
      <w:r w:rsidRPr="0071429C">
        <w:rPr>
          <w:rFonts w:cs="Arial"/>
          <w:spacing w:val="-3"/>
          <w:sz w:val="20"/>
        </w:rPr>
        <w:t>Isturisa</w:t>
      </w:r>
      <w:r w:rsidRPr="0071429C">
        <w:rPr>
          <w:rFonts w:cs="Arial"/>
          <w:spacing w:val="-3"/>
          <w:sz w:val="20"/>
          <w:vertAlign w:val="superscript"/>
        </w:rPr>
        <w:t>®</w:t>
      </w:r>
      <w:r w:rsidRPr="0071429C">
        <w:rPr>
          <w:rFonts w:cs="Arial"/>
          <w:spacing w:val="-3"/>
          <w:sz w:val="20"/>
        </w:rPr>
        <w:t xml:space="preserve"> (</w:t>
      </w:r>
      <w:r w:rsidRPr="0075118D">
        <w:rPr>
          <w:rFonts w:cs="Arial"/>
          <w:spacing w:val="-3"/>
          <w:sz w:val="20"/>
        </w:rPr>
        <w:t>osilodrostat) was FDA approved in March 2020 for the treatment of adult patients with Cushing’s disease (CD) for whom pituitary surgery is not an option or has not been curative. CD occurs in the presence of pituitary adenomas that produce high levels of adrenocorticotropin hormone (ACTH); this over secretion of ACTH leads to an overproduction of cortisol by the adrenal glands. CD can be life-threatening if not treated, and may cause significant health issues such as obesity, type 2 diabetes, high blood pressure, blood clots, bone loss, immunosuppression, and neuropsychiatric symptoms. Isturisa is a twice-daily oral cortisol synthesis inhibitor that inhibits 11-beta-hydroxylase (CYP11B1), which is responsible for the final step of cortisol biosynthesis in the adrenal gland. Isturisa represents the first agent with this mechanism of action to be approved by the FDA for the treatment of CD.</w:t>
      </w:r>
      <w:r w:rsidR="00887E13">
        <w:rPr>
          <w:rFonts w:cs="Arial"/>
          <w:spacing w:val="-3"/>
          <w:sz w:val="20"/>
        </w:rPr>
        <w:t xml:space="preserve"> In </w:t>
      </w:r>
      <w:r w:rsidR="00C13B38">
        <w:rPr>
          <w:rFonts w:cs="Arial"/>
          <w:spacing w:val="-3"/>
          <w:sz w:val="20"/>
        </w:rPr>
        <w:t>April of 2025, the labeled indication was expanded to include</w:t>
      </w:r>
      <w:r w:rsidR="00CE4FD1">
        <w:rPr>
          <w:rFonts w:cs="Arial"/>
          <w:spacing w:val="-3"/>
          <w:sz w:val="20"/>
        </w:rPr>
        <w:t xml:space="preserve"> adult</w:t>
      </w:r>
      <w:r w:rsidR="00C13B38">
        <w:rPr>
          <w:rFonts w:cs="Arial"/>
          <w:spacing w:val="-3"/>
          <w:sz w:val="20"/>
        </w:rPr>
        <w:t xml:space="preserve"> patients with endogenous hypercortisolemia </w:t>
      </w:r>
      <w:r w:rsidR="00CE4FD1">
        <w:rPr>
          <w:rFonts w:cs="Arial"/>
          <w:spacing w:val="-3"/>
          <w:sz w:val="20"/>
        </w:rPr>
        <w:t xml:space="preserve">with </w:t>
      </w:r>
      <w:r w:rsidR="00C13B38">
        <w:rPr>
          <w:rFonts w:cs="Arial"/>
          <w:spacing w:val="-3"/>
          <w:sz w:val="20"/>
        </w:rPr>
        <w:t>Cushing’s syndrome</w:t>
      </w:r>
      <w:r w:rsidR="00E771EB">
        <w:rPr>
          <w:rFonts w:cs="Arial"/>
          <w:spacing w:val="-3"/>
          <w:sz w:val="20"/>
        </w:rPr>
        <w:t xml:space="preserve"> </w:t>
      </w:r>
      <w:r w:rsidR="00B873A1">
        <w:rPr>
          <w:rFonts w:cs="Arial"/>
          <w:spacing w:val="-3"/>
          <w:sz w:val="20"/>
        </w:rPr>
        <w:t>for whom</w:t>
      </w:r>
      <w:r w:rsidR="00CE4FD1">
        <w:rPr>
          <w:rFonts w:cs="Arial"/>
          <w:spacing w:val="-3"/>
          <w:sz w:val="20"/>
        </w:rPr>
        <w:t xml:space="preserve"> surgery is not an option or has not been curative</w:t>
      </w:r>
      <w:r w:rsidR="007905B3">
        <w:rPr>
          <w:rFonts w:cs="Arial"/>
          <w:spacing w:val="-3"/>
          <w:sz w:val="20"/>
        </w:rPr>
        <w:t>. This change includes all patients with Cushing’s Disease as well as</w:t>
      </w:r>
      <w:r w:rsidR="0088055D">
        <w:rPr>
          <w:rFonts w:cs="Arial"/>
          <w:spacing w:val="-3"/>
          <w:sz w:val="20"/>
        </w:rPr>
        <w:t xml:space="preserve"> endogenous hypercortisolemia caused by non-pituitary tumors.</w:t>
      </w:r>
    </w:p>
    <w:p w14:paraId="0B88FA62" w14:textId="77777777" w:rsidR="004360C5" w:rsidRDefault="004360C5" w:rsidP="004360C5">
      <w:pPr>
        <w:pStyle w:val="Header"/>
        <w:rPr>
          <w:rFonts w:cs="Arial"/>
          <w:spacing w:val="-3"/>
          <w:sz w:val="20"/>
        </w:rPr>
      </w:pPr>
    </w:p>
    <w:p w14:paraId="7ACECC9F" w14:textId="20FA2D36" w:rsidR="00B56DCC" w:rsidRDefault="004360C5" w:rsidP="004360C5">
      <w:pPr>
        <w:rPr>
          <w:rFonts w:cs="Arial"/>
          <w:spacing w:val="-3"/>
        </w:rPr>
      </w:pPr>
      <w:r w:rsidRPr="0071429C">
        <w:rPr>
          <w:rFonts w:cs="Arial"/>
          <w:spacing w:val="-3"/>
        </w:rPr>
        <w:t>Due to the high cost and specific approved indications, MO HealthNet will impose clinical criteria to ensure appropriate utilization of Isturisa.</w:t>
      </w:r>
    </w:p>
    <w:p w14:paraId="44B6F6A5" w14:textId="77777777" w:rsidR="004360C5" w:rsidRDefault="004360C5" w:rsidP="004360C5"/>
    <w:p w14:paraId="5B5260CF" w14:textId="3E0E45E1" w:rsidR="003D4704" w:rsidRPr="00AD17B7" w:rsidRDefault="003D4704" w:rsidP="003D4704">
      <w:r>
        <w:rPr>
          <w:b/>
          <w:bCs/>
        </w:rPr>
        <w:t xml:space="preserve">Program-Specific Information: </w:t>
      </w:r>
      <w:r w:rsidR="00A52004">
        <w:t xml:space="preserve">Date Range FFS </w:t>
      </w:r>
      <w:r w:rsidR="00A52004" w:rsidRPr="00C5484C">
        <w:t>1-1-2025 to 12-31-2025</w:t>
      </w:r>
    </w:p>
    <w:tbl>
      <w:tblPr>
        <w:tblW w:w="9900" w:type="dxa"/>
        <w:jc w:val="center"/>
        <w:tblLayout w:type="fixed"/>
        <w:tblLook w:val="04A0" w:firstRow="1" w:lastRow="0" w:firstColumn="1" w:lastColumn="0" w:noHBand="0" w:noVBand="1"/>
      </w:tblPr>
      <w:tblGrid>
        <w:gridCol w:w="3678"/>
        <w:gridCol w:w="1668"/>
        <w:gridCol w:w="1223"/>
        <w:gridCol w:w="1780"/>
        <w:gridCol w:w="1551"/>
      </w:tblGrid>
      <w:tr w:rsidR="002473A1" w:rsidRPr="001B3DB8" w14:paraId="473ACB3A" w14:textId="77777777" w:rsidTr="00881D87">
        <w:trPr>
          <w:trHeight w:val="20"/>
          <w:jc w:val="center"/>
        </w:trPr>
        <w:tc>
          <w:tcPr>
            <w:tcW w:w="3678" w:type="dxa"/>
            <w:tcBorders>
              <w:top w:val="single" w:sz="4" w:space="0" w:color="auto"/>
              <w:left w:val="single" w:sz="4" w:space="0" w:color="auto"/>
              <w:right w:val="single" w:sz="4" w:space="0" w:color="auto"/>
            </w:tcBorders>
            <w:shd w:val="clear" w:color="auto" w:fill="FABF8F" w:themeFill="accent6" w:themeFillTint="99"/>
            <w:vAlign w:val="center"/>
          </w:tcPr>
          <w:p w14:paraId="3F422B61" w14:textId="77777777" w:rsidR="002473A1" w:rsidRPr="00437ED6" w:rsidRDefault="002473A1" w:rsidP="001F132C">
            <w:pPr>
              <w:jc w:val="center"/>
              <w:rPr>
                <w:rFonts w:cs="Arial"/>
                <w:b/>
                <w:spacing w:val="-3"/>
                <w:szCs w:val="20"/>
              </w:rPr>
            </w:pPr>
            <w:r w:rsidRPr="00437ED6">
              <w:rPr>
                <w:rFonts w:cs="Arial"/>
                <w:b/>
                <w:spacing w:val="-3"/>
                <w:szCs w:val="20"/>
              </w:rPr>
              <w:t>Drug</w:t>
            </w:r>
          </w:p>
        </w:tc>
        <w:tc>
          <w:tcPr>
            <w:tcW w:w="166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886F317" w14:textId="77777777" w:rsidR="002473A1" w:rsidRPr="001B3DB8" w:rsidRDefault="002473A1" w:rsidP="001F132C">
            <w:pPr>
              <w:jc w:val="center"/>
              <w:rPr>
                <w:rFonts w:cs="Arial"/>
                <w:b/>
                <w:spacing w:val="-3"/>
                <w:szCs w:val="20"/>
              </w:rPr>
            </w:pPr>
            <w:r w:rsidRPr="001B3DB8">
              <w:rPr>
                <w:rFonts w:cs="Arial"/>
                <w:b/>
                <w:spacing w:val="-3"/>
                <w:szCs w:val="20"/>
              </w:rPr>
              <w:t>Participants</w:t>
            </w:r>
          </w:p>
        </w:tc>
        <w:tc>
          <w:tcPr>
            <w:tcW w:w="1223" w:type="dxa"/>
            <w:tcBorders>
              <w:top w:val="single" w:sz="4" w:space="0" w:color="auto"/>
              <w:left w:val="single" w:sz="4" w:space="0" w:color="auto"/>
              <w:right w:val="single" w:sz="4" w:space="0" w:color="auto"/>
            </w:tcBorders>
            <w:shd w:val="clear" w:color="auto" w:fill="FABF8F" w:themeFill="accent6" w:themeFillTint="99"/>
            <w:vAlign w:val="center"/>
          </w:tcPr>
          <w:p w14:paraId="1C28A4CE" w14:textId="77777777" w:rsidR="002473A1" w:rsidRPr="001B3DB8" w:rsidRDefault="002473A1" w:rsidP="001F132C">
            <w:pPr>
              <w:jc w:val="center"/>
              <w:rPr>
                <w:rFonts w:cs="Arial"/>
                <w:spacing w:val="-3"/>
                <w:szCs w:val="20"/>
              </w:rPr>
            </w:pPr>
            <w:r w:rsidRPr="001B3DB8">
              <w:rPr>
                <w:rFonts w:cs="Arial"/>
                <w:b/>
                <w:spacing w:val="-3"/>
                <w:szCs w:val="20"/>
              </w:rPr>
              <w:t>Claims</w:t>
            </w:r>
          </w:p>
        </w:tc>
        <w:tc>
          <w:tcPr>
            <w:tcW w:w="1780" w:type="dxa"/>
            <w:tcBorders>
              <w:top w:val="single" w:sz="4" w:space="0" w:color="auto"/>
              <w:left w:val="single" w:sz="4" w:space="0" w:color="auto"/>
              <w:right w:val="single" w:sz="4" w:space="0" w:color="auto"/>
            </w:tcBorders>
            <w:shd w:val="clear" w:color="auto" w:fill="FABF8F" w:themeFill="accent6" w:themeFillTint="99"/>
            <w:vAlign w:val="center"/>
          </w:tcPr>
          <w:p w14:paraId="5E473871" w14:textId="77777777" w:rsidR="002473A1" w:rsidRPr="001B3DB8" w:rsidRDefault="002473A1" w:rsidP="001F132C">
            <w:pPr>
              <w:jc w:val="center"/>
              <w:rPr>
                <w:rFonts w:cs="Arial"/>
                <w:spacing w:val="-3"/>
                <w:szCs w:val="20"/>
              </w:rPr>
            </w:pPr>
            <w:r w:rsidRPr="001B3DB8">
              <w:rPr>
                <w:rFonts w:cs="Arial"/>
                <w:b/>
                <w:spacing w:val="-3"/>
                <w:szCs w:val="20"/>
              </w:rPr>
              <w:t>Spend</w:t>
            </w:r>
          </w:p>
        </w:tc>
        <w:tc>
          <w:tcPr>
            <w:tcW w:w="155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D4D3D6F" w14:textId="77777777" w:rsidR="002473A1" w:rsidRPr="001B3DB8" w:rsidRDefault="002473A1" w:rsidP="001F132C">
            <w:pPr>
              <w:jc w:val="center"/>
              <w:rPr>
                <w:rFonts w:cs="Arial"/>
                <w:b/>
                <w:spacing w:val="-3"/>
                <w:szCs w:val="20"/>
              </w:rPr>
            </w:pPr>
            <w:r w:rsidRPr="001B3DB8">
              <w:rPr>
                <w:rFonts w:cs="Arial"/>
                <w:b/>
                <w:spacing w:val="-3"/>
                <w:szCs w:val="20"/>
              </w:rPr>
              <w:t>Avg Spend per Claim</w:t>
            </w:r>
          </w:p>
        </w:tc>
      </w:tr>
      <w:tr w:rsidR="00881D87" w:rsidRPr="001E4EA8" w14:paraId="016B449D" w14:textId="77777777" w:rsidTr="00881D87">
        <w:trPr>
          <w:trHeight w:val="20"/>
          <w:jc w:val="center"/>
        </w:trPr>
        <w:tc>
          <w:tcPr>
            <w:tcW w:w="3678" w:type="dxa"/>
            <w:tcBorders>
              <w:top w:val="single" w:sz="4" w:space="0" w:color="auto"/>
              <w:left w:val="single" w:sz="4" w:space="0" w:color="999999"/>
              <w:bottom w:val="single" w:sz="4" w:space="0" w:color="auto"/>
              <w:right w:val="single" w:sz="4" w:space="0" w:color="auto"/>
            </w:tcBorders>
            <w:vAlign w:val="bottom"/>
          </w:tcPr>
          <w:p w14:paraId="35934C4F" w14:textId="77777777" w:rsidR="00881D87" w:rsidRPr="0082633F" w:rsidRDefault="00881D87" w:rsidP="00881D87">
            <w:pPr>
              <w:rPr>
                <w:rFonts w:cs="Arial"/>
                <w:caps/>
                <w:spacing w:val="-3"/>
                <w:szCs w:val="20"/>
                <w:highlight w:val="yellow"/>
              </w:rPr>
            </w:pPr>
            <w:r>
              <w:rPr>
                <w:rFonts w:cs="Arial"/>
                <w:szCs w:val="20"/>
              </w:rPr>
              <w:t>ISTURISA 1 MG TAB</w:t>
            </w:r>
          </w:p>
        </w:tc>
        <w:tc>
          <w:tcPr>
            <w:tcW w:w="1668" w:type="dxa"/>
            <w:tcBorders>
              <w:top w:val="single" w:sz="4" w:space="0" w:color="auto"/>
              <w:left w:val="single" w:sz="4" w:space="0" w:color="999999"/>
              <w:bottom w:val="single" w:sz="4" w:space="0" w:color="auto"/>
              <w:right w:val="single" w:sz="4" w:space="0" w:color="auto"/>
            </w:tcBorders>
            <w:vAlign w:val="center"/>
          </w:tcPr>
          <w:p w14:paraId="6EE33D2D" w14:textId="274D8B22" w:rsidR="00881D87" w:rsidRPr="001E4EA8" w:rsidRDefault="00901981" w:rsidP="00881D87">
            <w:pPr>
              <w:jc w:val="center"/>
              <w:rPr>
                <w:rFonts w:cs="Arial"/>
                <w:caps/>
                <w:spacing w:val="-3"/>
                <w:szCs w:val="20"/>
              </w:rPr>
            </w:pPr>
            <w:r>
              <w:rPr>
                <w:rFonts w:cs="Arial"/>
                <w:caps/>
                <w:spacing w:val="-3"/>
                <w:szCs w:val="20"/>
              </w:rPr>
              <w:t>6</w:t>
            </w:r>
          </w:p>
        </w:tc>
        <w:tc>
          <w:tcPr>
            <w:tcW w:w="1223" w:type="dxa"/>
            <w:tcBorders>
              <w:top w:val="single" w:sz="4" w:space="0" w:color="auto"/>
              <w:left w:val="single" w:sz="4" w:space="0" w:color="auto"/>
              <w:bottom w:val="single" w:sz="4" w:space="0" w:color="auto"/>
              <w:right w:val="single" w:sz="4" w:space="0" w:color="auto"/>
            </w:tcBorders>
            <w:vAlign w:val="bottom"/>
          </w:tcPr>
          <w:p w14:paraId="1EAED652" w14:textId="302520CB" w:rsidR="00881D87" w:rsidRPr="001E4EA8" w:rsidRDefault="00881D87" w:rsidP="00881D87">
            <w:pPr>
              <w:jc w:val="center"/>
              <w:rPr>
                <w:rFonts w:cs="Arial"/>
                <w:spacing w:val="-3"/>
                <w:szCs w:val="20"/>
              </w:rPr>
            </w:pPr>
            <w:r>
              <w:rPr>
                <w:rFonts w:cs="Arial"/>
                <w:szCs w:val="20"/>
              </w:rPr>
              <w:t>31</w:t>
            </w:r>
          </w:p>
        </w:tc>
        <w:tc>
          <w:tcPr>
            <w:tcW w:w="1780" w:type="dxa"/>
            <w:tcBorders>
              <w:top w:val="single" w:sz="4" w:space="0" w:color="auto"/>
              <w:left w:val="single" w:sz="4" w:space="0" w:color="auto"/>
              <w:bottom w:val="single" w:sz="4" w:space="0" w:color="auto"/>
              <w:right w:val="single" w:sz="4" w:space="0" w:color="auto"/>
            </w:tcBorders>
            <w:vAlign w:val="bottom"/>
          </w:tcPr>
          <w:p w14:paraId="3460BBB7" w14:textId="7BF39C41" w:rsidR="00881D87" w:rsidRPr="001E4EA8" w:rsidRDefault="00881D87" w:rsidP="00881D87">
            <w:pPr>
              <w:jc w:val="center"/>
              <w:rPr>
                <w:rFonts w:cs="Arial"/>
                <w:spacing w:val="-3"/>
                <w:szCs w:val="20"/>
              </w:rPr>
            </w:pPr>
            <w:r>
              <w:rPr>
                <w:rFonts w:cs="Arial"/>
                <w:szCs w:val="20"/>
              </w:rPr>
              <w:t>$255,404.05</w:t>
            </w:r>
          </w:p>
        </w:tc>
        <w:tc>
          <w:tcPr>
            <w:tcW w:w="1551" w:type="dxa"/>
            <w:tcBorders>
              <w:top w:val="single" w:sz="4" w:space="0" w:color="auto"/>
              <w:left w:val="single" w:sz="4" w:space="0" w:color="auto"/>
              <w:bottom w:val="single" w:sz="4" w:space="0" w:color="auto"/>
              <w:right w:val="single" w:sz="4" w:space="0" w:color="auto"/>
            </w:tcBorders>
            <w:vAlign w:val="bottom"/>
          </w:tcPr>
          <w:p w14:paraId="7E0E3098" w14:textId="644A18F3" w:rsidR="00881D87" w:rsidRPr="001E4EA8" w:rsidRDefault="00881D87" w:rsidP="00881D87">
            <w:pPr>
              <w:jc w:val="center"/>
              <w:rPr>
                <w:rFonts w:cs="Arial"/>
                <w:bCs/>
                <w:spacing w:val="-3"/>
                <w:szCs w:val="20"/>
              </w:rPr>
            </w:pPr>
            <w:r>
              <w:rPr>
                <w:rFonts w:cs="Arial"/>
                <w:szCs w:val="20"/>
              </w:rPr>
              <w:t>$8,238.84</w:t>
            </w:r>
          </w:p>
        </w:tc>
      </w:tr>
      <w:tr w:rsidR="00881D87" w:rsidRPr="001E4EA8" w14:paraId="1F7EDBF5" w14:textId="77777777" w:rsidTr="00881D87">
        <w:trPr>
          <w:trHeight w:val="20"/>
          <w:jc w:val="center"/>
        </w:trPr>
        <w:tc>
          <w:tcPr>
            <w:tcW w:w="3678" w:type="dxa"/>
            <w:tcBorders>
              <w:top w:val="single" w:sz="4" w:space="0" w:color="auto"/>
              <w:left w:val="single" w:sz="4" w:space="0" w:color="999999"/>
              <w:bottom w:val="single" w:sz="4" w:space="0" w:color="auto"/>
              <w:right w:val="single" w:sz="4" w:space="0" w:color="auto"/>
            </w:tcBorders>
            <w:vAlign w:val="bottom"/>
          </w:tcPr>
          <w:p w14:paraId="0B33E539" w14:textId="77777777" w:rsidR="00881D87" w:rsidRPr="0082633F" w:rsidRDefault="00881D87" w:rsidP="00881D87">
            <w:pPr>
              <w:rPr>
                <w:rFonts w:cs="Arial"/>
                <w:caps/>
                <w:spacing w:val="-3"/>
                <w:szCs w:val="20"/>
                <w:highlight w:val="yellow"/>
              </w:rPr>
            </w:pPr>
            <w:r>
              <w:rPr>
                <w:rFonts w:cs="Arial"/>
                <w:szCs w:val="20"/>
              </w:rPr>
              <w:t>ISTURISA 5 MG TAB</w:t>
            </w:r>
          </w:p>
        </w:tc>
        <w:tc>
          <w:tcPr>
            <w:tcW w:w="1668" w:type="dxa"/>
            <w:tcBorders>
              <w:top w:val="single" w:sz="4" w:space="0" w:color="auto"/>
              <w:left w:val="single" w:sz="4" w:space="0" w:color="999999"/>
              <w:bottom w:val="single" w:sz="4" w:space="0" w:color="auto"/>
              <w:right w:val="single" w:sz="4" w:space="0" w:color="auto"/>
            </w:tcBorders>
            <w:vAlign w:val="bottom"/>
          </w:tcPr>
          <w:p w14:paraId="60ED794C" w14:textId="64DF5CF5" w:rsidR="00881D87" w:rsidRPr="001E4EA8" w:rsidRDefault="00901981" w:rsidP="00881D87">
            <w:pPr>
              <w:jc w:val="center"/>
              <w:rPr>
                <w:rFonts w:cs="Arial"/>
                <w:caps/>
                <w:spacing w:val="-3"/>
                <w:szCs w:val="20"/>
              </w:rPr>
            </w:pPr>
            <w:r>
              <w:rPr>
                <w:rFonts w:cs="Arial"/>
                <w:caps/>
                <w:spacing w:val="-3"/>
                <w:szCs w:val="20"/>
              </w:rPr>
              <w:t>2</w:t>
            </w:r>
          </w:p>
        </w:tc>
        <w:tc>
          <w:tcPr>
            <w:tcW w:w="1223" w:type="dxa"/>
            <w:tcBorders>
              <w:top w:val="single" w:sz="4" w:space="0" w:color="auto"/>
              <w:left w:val="single" w:sz="4" w:space="0" w:color="auto"/>
              <w:bottom w:val="single" w:sz="4" w:space="0" w:color="auto"/>
              <w:right w:val="single" w:sz="4" w:space="0" w:color="auto"/>
            </w:tcBorders>
            <w:vAlign w:val="bottom"/>
          </w:tcPr>
          <w:p w14:paraId="115349CB" w14:textId="424A1853" w:rsidR="00881D87" w:rsidRPr="001E4EA8" w:rsidRDefault="00881D87" w:rsidP="00881D87">
            <w:pPr>
              <w:jc w:val="center"/>
              <w:rPr>
                <w:rFonts w:cs="Arial"/>
                <w:spacing w:val="-3"/>
                <w:szCs w:val="20"/>
              </w:rPr>
            </w:pPr>
            <w:r>
              <w:rPr>
                <w:rFonts w:cs="Arial"/>
                <w:szCs w:val="20"/>
              </w:rPr>
              <w:t>13</w:t>
            </w:r>
          </w:p>
        </w:tc>
        <w:tc>
          <w:tcPr>
            <w:tcW w:w="1780" w:type="dxa"/>
            <w:tcBorders>
              <w:top w:val="single" w:sz="4" w:space="0" w:color="auto"/>
              <w:left w:val="single" w:sz="4" w:space="0" w:color="auto"/>
              <w:bottom w:val="single" w:sz="4" w:space="0" w:color="auto"/>
              <w:right w:val="single" w:sz="4" w:space="0" w:color="auto"/>
            </w:tcBorders>
            <w:vAlign w:val="bottom"/>
          </w:tcPr>
          <w:p w14:paraId="43429F34" w14:textId="5ADE2D4D" w:rsidR="00881D87" w:rsidRPr="001E4EA8" w:rsidRDefault="00881D87" w:rsidP="00881D87">
            <w:pPr>
              <w:jc w:val="center"/>
              <w:rPr>
                <w:rFonts w:cs="Arial"/>
                <w:spacing w:val="-3"/>
                <w:szCs w:val="20"/>
              </w:rPr>
            </w:pPr>
            <w:r>
              <w:rPr>
                <w:rFonts w:cs="Arial"/>
                <w:szCs w:val="20"/>
              </w:rPr>
              <w:t>$687,660.50</w:t>
            </w:r>
          </w:p>
        </w:tc>
        <w:tc>
          <w:tcPr>
            <w:tcW w:w="1551" w:type="dxa"/>
            <w:tcBorders>
              <w:top w:val="single" w:sz="4" w:space="0" w:color="auto"/>
              <w:left w:val="single" w:sz="4" w:space="0" w:color="auto"/>
              <w:bottom w:val="single" w:sz="4" w:space="0" w:color="auto"/>
              <w:right w:val="single" w:sz="4" w:space="0" w:color="auto"/>
            </w:tcBorders>
            <w:vAlign w:val="bottom"/>
          </w:tcPr>
          <w:p w14:paraId="6DE2590B" w14:textId="03E2EF0F" w:rsidR="00881D87" w:rsidRPr="001E4EA8" w:rsidRDefault="00881D87" w:rsidP="00881D87">
            <w:pPr>
              <w:jc w:val="center"/>
              <w:rPr>
                <w:rFonts w:cs="Arial"/>
                <w:bCs/>
                <w:spacing w:val="-3"/>
                <w:szCs w:val="20"/>
              </w:rPr>
            </w:pPr>
            <w:r>
              <w:rPr>
                <w:rFonts w:cs="Arial"/>
                <w:szCs w:val="20"/>
              </w:rPr>
              <w:t>$52,896.96</w:t>
            </w:r>
          </w:p>
        </w:tc>
      </w:tr>
      <w:tr w:rsidR="002473A1" w:rsidRPr="001E4EA8" w14:paraId="24D185B5" w14:textId="77777777" w:rsidTr="00881D87">
        <w:trPr>
          <w:trHeight w:val="20"/>
          <w:jc w:val="center"/>
        </w:trPr>
        <w:tc>
          <w:tcPr>
            <w:tcW w:w="3678" w:type="dxa"/>
            <w:tcBorders>
              <w:top w:val="single" w:sz="4" w:space="0" w:color="auto"/>
              <w:left w:val="single" w:sz="4" w:space="0" w:color="auto"/>
              <w:bottom w:val="single" w:sz="4" w:space="0" w:color="auto"/>
              <w:right w:val="single" w:sz="4" w:space="0" w:color="auto"/>
            </w:tcBorders>
            <w:vAlign w:val="center"/>
          </w:tcPr>
          <w:p w14:paraId="60C8FB47" w14:textId="77777777" w:rsidR="002473A1" w:rsidRDefault="002473A1" w:rsidP="001F132C">
            <w:pPr>
              <w:rPr>
                <w:rFonts w:cs="Arial"/>
                <w:szCs w:val="20"/>
              </w:rPr>
            </w:pPr>
            <w:r w:rsidRPr="00437ED6">
              <w:rPr>
                <w:rFonts w:cs="Arial"/>
                <w:caps/>
                <w:spacing w:val="-3"/>
                <w:szCs w:val="20"/>
              </w:rPr>
              <w:t>Isturisa 10 mg tab</w:t>
            </w:r>
          </w:p>
        </w:tc>
        <w:tc>
          <w:tcPr>
            <w:tcW w:w="1668" w:type="dxa"/>
            <w:tcBorders>
              <w:top w:val="single" w:sz="4" w:space="0" w:color="auto"/>
              <w:left w:val="single" w:sz="4" w:space="0" w:color="auto"/>
              <w:bottom w:val="single" w:sz="4" w:space="0" w:color="auto"/>
              <w:right w:val="single" w:sz="4" w:space="0" w:color="auto"/>
            </w:tcBorders>
            <w:vAlign w:val="center"/>
          </w:tcPr>
          <w:p w14:paraId="195CB241" w14:textId="29633339" w:rsidR="002473A1" w:rsidRPr="001E4EA8" w:rsidRDefault="00881D87" w:rsidP="001F132C">
            <w:pPr>
              <w:jc w:val="center"/>
              <w:rPr>
                <w:rFonts w:cs="Arial"/>
                <w:szCs w:val="20"/>
              </w:rPr>
            </w:pPr>
            <w:r>
              <w:rPr>
                <w:rFonts w:cs="Arial"/>
                <w:szCs w:val="20"/>
              </w:rPr>
              <w:t>-</w:t>
            </w:r>
          </w:p>
        </w:tc>
        <w:tc>
          <w:tcPr>
            <w:tcW w:w="1223" w:type="dxa"/>
            <w:tcBorders>
              <w:top w:val="single" w:sz="4" w:space="0" w:color="auto"/>
              <w:left w:val="single" w:sz="4" w:space="0" w:color="auto"/>
              <w:bottom w:val="single" w:sz="4" w:space="0" w:color="auto"/>
              <w:right w:val="single" w:sz="4" w:space="0" w:color="auto"/>
            </w:tcBorders>
            <w:vAlign w:val="center"/>
          </w:tcPr>
          <w:p w14:paraId="142F2AD4" w14:textId="77777777" w:rsidR="002473A1" w:rsidRPr="001E4EA8" w:rsidRDefault="002473A1" w:rsidP="001F132C">
            <w:pPr>
              <w:jc w:val="center"/>
              <w:rPr>
                <w:rFonts w:cs="Arial"/>
                <w:szCs w:val="20"/>
              </w:rPr>
            </w:pPr>
            <w:r>
              <w:rPr>
                <w:rFonts w:cs="Arial"/>
                <w:spacing w:val="-3"/>
                <w:szCs w:val="20"/>
              </w:rPr>
              <w:t>-</w:t>
            </w:r>
          </w:p>
        </w:tc>
        <w:tc>
          <w:tcPr>
            <w:tcW w:w="1780" w:type="dxa"/>
            <w:tcBorders>
              <w:top w:val="single" w:sz="4" w:space="0" w:color="auto"/>
              <w:left w:val="single" w:sz="4" w:space="0" w:color="auto"/>
              <w:bottom w:val="single" w:sz="4" w:space="0" w:color="auto"/>
              <w:right w:val="single" w:sz="4" w:space="0" w:color="auto"/>
            </w:tcBorders>
            <w:vAlign w:val="center"/>
          </w:tcPr>
          <w:p w14:paraId="708AB7DE" w14:textId="77777777" w:rsidR="002473A1" w:rsidRPr="001E4EA8" w:rsidRDefault="002473A1" w:rsidP="001F132C">
            <w:pPr>
              <w:jc w:val="center"/>
              <w:rPr>
                <w:rFonts w:cs="Arial"/>
                <w:szCs w:val="20"/>
              </w:rPr>
            </w:pPr>
            <w:r w:rsidRPr="001E4EA8">
              <w:rPr>
                <w:rFonts w:cs="Arial"/>
                <w:spacing w:val="-3"/>
                <w:szCs w:val="20"/>
              </w:rPr>
              <w:t>-</w:t>
            </w:r>
          </w:p>
        </w:tc>
        <w:tc>
          <w:tcPr>
            <w:tcW w:w="1551" w:type="dxa"/>
            <w:tcBorders>
              <w:top w:val="single" w:sz="4" w:space="0" w:color="auto"/>
              <w:left w:val="single" w:sz="4" w:space="0" w:color="auto"/>
              <w:bottom w:val="single" w:sz="4" w:space="0" w:color="auto"/>
              <w:right w:val="single" w:sz="4" w:space="0" w:color="auto"/>
            </w:tcBorders>
            <w:vAlign w:val="center"/>
          </w:tcPr>
          <w:p w14:paraId="14BCA9FA" w14:textId="77777777" w:rsidR="002473A1" w:rsidRPr="001E4EA8" w:rsidRDefault="002473A1" w:rsidP="001F132C">
            <w:pPr>
              <w:jc w:val="center"/>
              <w:rPr>
                <w:rFonts w:cs="Arial"/>
                <w:szCs w:val="20"/>
              </w:rPr>
            </w:pPr>
            <w:r w:rsidRPr="001E4EA8">
              <w:rPr>
                <w:rFonts w:cs="Arial"/>
                <w:bCs/>
                <w:spacing w:val="-3"/>
                <w:szCs w:val="20"/>
              </w:rPr>
              <w:t>-</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AB9AAE5" w:rsidR="0097028A" w:rsidRPr="0079438F" w:rsidRDefault="0097028A" w:rsidP="00696E3A">
      <w:pPr>
        <w:rPr>
          <w:b/>
        </w:rPr>
      </w:pPr>
      <w:r w:rsidRPr="00696E3A">
        <w:rPr>
          <w:b/>
          <w:bCs/>
        </w:rPr>
        <w:t>Drug class for review:</w:t>
      </w:r>
      <w:r w:rsidR="00B813B1" w:rsidRPr="00B813B1">
        <w:rPr>
          <w:rFonts w:cs="Arial"/>
          <w:spacing w:val="-3"/>
          <w:szCs w:val="20"/>
        </w:rPr>
        <w:t xml:space="preserve"> </w:t>
      </w:r>
      <w:r w:rsidR="00B813B1" w:rsidRPr="00DB1BC8">
        <w:rPr>
          <w:rFonts w:cs="Arial"/>
          <w:spacing w:val="-3"/>
          <w:szCs w:val="20"/>
        </w:rPr>
        <w:t>Isturisa</w:t>
      </w:r>
      <w:r w:rsidR="00B813B1" w:rsidRPr="00DB1BC8">
        <w:rPr>
          <w:rFonts w:cs="Arial"/>
          <w:spacing w:val="-3"/>
          <w:szCs w:val="20"/>
          <w:vertAlign w:val="superscript"/>
        </w:rPr>
        <w:t>®</w:t>
      </w:r>
      <w:r w:rsidR="00B813B1" w:rsidRPr="00DB1BC8">
        <w:rPr>
          <w:rFonts w:cs="Arial"/>
          <w:spacing w:val="-3"/>
          <w:szCs w:val="20"/>
        </w:rPr>
        <w:t xml:space="preserve"> (osilodrostat)</w:t>
      </w:r>
      <w:r w:rsidRPr="00C02553">
        <w:t xml:space="preserve"> </w:t>
      </w:r>
    </w:p>
    <w:p w14:paraId="26CFE8A0" w14:textId="6A4DAC0E"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B56D28" w:rsidRPr="00B56D28">
        <w:rPr>
          <w:rFonts w:cs="Arial"/>
          <w:szCs w:val="20"/>
        </w:rPr>
        <w:t xml:space="preserve"> </w:t>
      </w:r>
      <w:r w:rsidR="00B56D28" w:rsidRPr="00DB1BC8">
        <w:rPr>
          <w:rFonts w:cs="Arial"/>
          <w:szCs w:val="20"/>
        </w:rPr>
        <w:t>aged 18 years 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304DD05D" w14:textId="77777777" w:rsidR="007B69F7" w:rsidRDefault="007B69F7" w:rsidP="007B69F7">
      <w:pPr>
        <w:pStyle w:val="ListParagraph"/>
        <w:numPr>
          <w:ilvl w:val="0"/>
          <w:numId w:val="16"/>
        </w:numPr>
        <w:rPr>
          <w:rFonts w:cs="Arial"/>
          <w:bCs/>
          <w:szCs w:val="20"/>
        </w:rPr>
      </w:pPr>
      <w:r w:rsidRPr="00C27081">
        <w:rPr>
          <w:rFonts w:cs="Arial"/>
          <w:bCs/>
          <w:szCs w:val="20"/>
        </w:rPr>
        <w:t xml:space="preserve">Must meet </w:t>
      </w:r>
      <w:proofErr w:type="gramStart"/>
      <w:r w:rsidRPr="00C27081">
        <w:rPr>
          <w:rFonts w:cs="Arial"/>
          <w:bCs/>
          <w:szCs w:val="20"/>
        </w:rPr>
        <w:t>all of</w:t>
      </w:r>
      <w:proofErr w:type="gramEnd"/>
      <w:r w:rsidRPr="00C27081">
        <w:rPr>
          <w:rFonts w:cs="Arial"/>
          <w:bCs/>
          <w:szCs w:val="20"/>
        </w:rPr>
        <w:t xml:space="preserve"> the following:</w:t>
      </w:r>
    </w:p>
    <w:p w14:paraId="343F3E6D" w14:textId="77777777" w:rsidR="007B69F7" w:rsidRDefault="007B69F7" w:rsidP="007B69F7">
      <w:pPr>
        <w:pStyle w:val="ListParagraph"/>
        <w:numPr>
          <w:ilvl w:val="1"/>
          <w:numId w:val="16"/>
        </w:numPr>
        <w:ind w:left="720"/>
        <w:rPr>
          <w:rFonts w:cs="Arial"/>
          <w:bCs/>
          <w:szCs w:val="20"/>
        </w:rPr>
      </w:pPr>
      <w:r w:rsidRPr="00C27081">
        <w:rPr>
          <w:rFonts w:cs="Arial"/>
          <w:bCs/>
          <w:szCs w:val="20"/>
        </w:rPr>
        <w:t xml:space="preserve">Participant aged 18 years or </w:t>
      </w:r>
      <w:proofErr w:type="gramStart"/>
      <w:r w:rsidRPr="00C27081">
        <w:rPr>
          <w:rFonts w:cs="Arial"/>
          <w:bCs/>
          <w:szCs w:val="20"/>
        </w:rPr>
        <w:t>older</w:t>
      </w:r>
      <w:r>
        <w:rPr>
          <w:rFonts w:cs="Arial"/>
          <w:bCs/>
          <w:szCs w:val="20"/>
        </w:rPr>
        <w:t>;</w:t>
      </w:r>
      <w:proofErr w:type="gramEnd"/>
    </w:p>
    <w:p w14:paraId="794AAFBD" w14:textId="77777777" w:rsidR="007B69F7" w:rsidRDefault="007B69F7" w:rsidP="007B69F7">
      <w:pPr>
        <w:pStyle w:val="ListParagraph"/>
        <w:numPr>
          <w:ilvl w:val="1"/>
          <w:numId w:val="16"/>
        </w:numPr>
        <w:ind w:left="720"/>
        <w:rPr>
          <w:rFonts w:cs="Arial"/>
          <w:bCs/>
          <w:szCs w:val="20"/>
        </w:rPr>
      </w:pPr>
      <w:r w:rsidRPr="00F36CAF">
        <w:rPr>
          <w:rFonts w:cs="Arial"/>
          <w:bCs/>
          <w:szCs w:val="20"/>
        </w:rPr>
        <w:lastRenderedPageBreak/>
        <w:t xml:space="preserve">Prescribed by or in consultation with an endocrinologist or other appropriate specialist for the treated disease </w:t>
      </w:r>
      <w:proofErr w:type="gramStart"/>
      <w:r w:rsidRPr="00F36CAF">
        <w:rPr>
          <w:rFonts w:cs="Arial"/>
          <w:bCs/>
          <w:szCs w:val="20"/>
        </w:rPr>
        <w:t>state;</w:t>
      </w:r>
      <w:proofErr w:type="gramEnd"/>
    </w:p>
    <w:p w14:paraId="4144E530" w14:textId="77777777" w:rsidR="007B69F7" w:rsidRPr="007B69F7" w:rsidRDefault="007B69F7" w:rsidP="007B69F7">
      <w:pPr>
        <w:pStyle w:val="ListParagraph"/>
        <w:numPr>
          <w:ilvl w:val="1"/>
          <w:numId w:val="16"/>
        </w:numPr>
        <w:ind w:left="720"/>
        <w:rPr>
          <w:rFonts w:cs="Arial"/>
          <w:bCs/>
          <w:color w:val="1F497D" w:themeColor="text2"/>
          <w:szCs w:val="20"/>
        </w:rPr>
      </w:pPr>
      <w:r w:rsidRPr="00F36CAF">
        <w:rPr>
          <w:rFonts w:cs="Arial"/>
          <w:bCs/>
          <w:szCs w:val="20"/>
        </w:rPr>
        <w:t xml:space="preserve">Documented diagnosis of </w:t>
      </w:r>
      <w:r w:rsidRPr="007B69F7">
        <w:rPr>
          <w:rFonts w:cs="Arial"/>
          <w:b/>
          <w:strike/>
          <w:color w:val="1F497D" w:themeColor="text2"/>
          <w:szCs w:val="20"/>
        </w:rPr>
        <w:t>Cushing’s disease</w:t>
      </w:r>
      <w:r w:rsidRPr="007B69F7">
        <w:rPr>
          <w:rFonts w:cs="Arial"/>
          <w:b/>
          <w:color w:val="1F497D" w:themeColor="text2"/>
          <w:szCs w:val="20"/>
        </w:rPr>
        <w:t xml:space="preserve"> endogenous hypercortisolemia resulting from Cushing’s </w:t>
      </w:r>
      <w:proofErr w:type="gramStart"/>
      <w:r w:rsidRPr="007B69F7">
        <w:rPr>
          <w:rFonts w:cs="Arial"/>
          <w:b/>
          <w:color w:val="1F497D" w:themeColor="text2"/>
          <w:szCs w:val="20"/>
        </w:rPr>
        <w:t>syndrome;</w:t>
      </w:r>
      <w:proofErr w:type="gramEnd"/>
    </w:p>
    <w:p w14:paraId="0B194246" w14:textId="6CB827AE" w:rsidR="007B69F7" w:rsidRDefault="007B69F7" w:rsidP="007B69F7">
      <w:pPr>
        <w:pStyle w:val="ListParagraph"/>
        <w:numPr>
          <w:ilvl w:val="1"/>
          <w:numId w:val="16"/>
        </w:numPr>
        <w:ind w:left="720"/>
        <w:rPr>
          <w:rFonts w:cs="Arial"/>
          <w:bCs/>
          <w:szCs w:val="20"/>
        </w:rPr>
      </w:pPr>
      <w:r w:rsidRPr="00B40181">
        <w:rPr>
          <w:rFonts w:cs="Arial"/>
          <w:bCs/>
          <w:szCs w:val="20"/>
        </w:rPr>
        <w:t xml:space="preserve">Documentation of failed pituitary surgery, </w:t>
      </w:r>
      <w:r w:rsidRPr="007B69F7">
        <w:rPr>
          <w:rFonts w:cs="Arial"/>
          <w:b/>
          <w:color w:val="1F497D" w:themeColor="text2"/>
          <w:szCs w:val="20"/>
        </w:rPr>
        <w:t>failed resection of non-pituitary ACTH secreting tumor</w:t>
      </w:r>
      <w:r w:rsidR="007763A3">
        <w:rPr>
          <w:rFonts w:cs="Arial"/>
          <w:b/>
          <w:color w:val="1F497D" w:themeColor="text2"/>
          <w:szCs w:val="20"/>
        </w:rPr>
        <w:t>,</w:t>
      </w:r>
      <w:r w:rsidRPr="007B69F7">
        <w:rPr>
          <w:rFonts w:cs="Arial"/>
          <w:b/>
          <w:color w:val="1F497D" w:themeColor="text2"/>
          <w:szCs w:val="20"/>
        </w:rPr>
        <w:t xml:space="preserve"> or reason </w:t>
      </w:r>
      <w:r w:rsidR="00F43B84">
        <w:rPr>
          <w:rFonts w:cs="Arial"/>
          <w:b/>
          <w:color w:val="1F497D" w:themeColor="text2"/>
          <w:szCs w:val="20"/>
        </w:rPr>
        <w:t>other</w:t>
      </w:r>
      <w:r w:rsidRPr="007B69F7">
        <w:rPr>
          <w:rFonts w:cs="Arial"/>
          <w:b/>
          <w:color w:val="1F497D" w:themeColor="text2"/>
          <w:szCs w:val="20"/>
        </w:rPr>
        <w:t xml:space="preserve"> appropriate surgical intervention is not an </w:t>
      </w:r>
      <w:proofErr w:type="gramStart"/>
      <w:r w:rsidRPr="007B69F7">
        <w:rPr>
          <w:rFonts w:cs="Arial"/>
          <w:b/>
          <w:color w:val="1F497D" w:themeColor="text2"/>
          <w:szCs w:val="20"/>
        </w:rPr>
        <w:t>option;</w:t>
      </w:r>
      <w:proofErr w:type="gramEnd"/>
    </w:p>
    <w:p w14:paraId="6310371E" w14:textId="77777777" w:rsidR="007B69F7" w:rsidRDefault="007B69F7" w:rsidP="007B69F7">
      <w:pPr>
        <w:pStyle w:val="ListParagraph"/>
        <w:numPr>
          <w:ilvl w:val="1"/>
          <w:numId w:val="16"/>
        </w:numPr>
        <w:ind w:left="720"/>
        <w:rPr>
          <w:rFonts w:cs="Arial"/>
          <w:bCs/>
          <w:szCs w:val="20"/>
        </w:rPr>
      </w:pPr>
      <w:r w:rsidRPr="00B40181">
        <w:rPr>
          <w:rFonts w:cs="Arial"/>
          <w:bCs/>
          <w:szCs w:val="20"/>
        </w:rPr>
        <w:t xml:space="preserve">Documentation of baseline electrocardiogram; </w:t>
      </w:r>
      <w:r w:rsidRPr="00441976">
        <w:rPr>
          <w:rFonts w:cs="Arial"/>
          <w:b/>
          <w:szCs w:val="20"/>
        </w:rPr>
        <w:t>AND</w:t>
      </w:r>
    </w:p>
    <w:p w14:paraId="001F62E1" w14:textId="77777777" w:rsidR="007B69F7" w:rsidRDefault="007B69F7" w:rsidP="007B69F7">
      <w:pPr>
        <w:pStyle w:val="ListParagraph"/>
        <w:numPr>
          <w:ilvl w:val="1"/>
          <w:numId w:val="16"/>
        </w:numPr>
        <w:ind w:left="720"/>
        <w:rPr>
          <w:rFonts w:cs="Arial"/>
          <w:bCs/>
          <w:szCs w:val="20"/>
        </w:rPr>
      </w:pPr>
      <w:r w:rsidRPr="00441976">
        <w:rPr>
          <w:rFonts w:cs="Arial"/>
          <w:bCs/>
          <w:szCs w:val="20"/>
        </w:rPr>
        <w:t>Documentation of baseline potassium, magnesium, and cortisol levels.</w:t>
      </w:r>
    </w:p>
    <w:p w14:paraId="4F20F135" w14:textId="77777777" w:rsidR="007B69F7" w:rsidRPr="00441976" w:rsidRDefault="007B69F7" w:rsidP="007B69F7">
      <w:pPr>
        <w:pStyle w:val="ListParagraph"/>
        <w:numPr>
          <w:ilvl w:val="0"/>
          <w:numId w:val="16"/>
        </w:numPr>
        <w:rPr>
          <w:rFonts w:cs="Arial"/>
          <w:bCs/>
          <w:szCs w:val="20"/>
        </w:rPr>
      </w:pPr>
      <w:r w:rsidRPr="00441976">
        <w:rPr>
          <w:rFonts w:cs="Arial"/>
          <w:bCs/>
          <w:szCs w:val="20"/>
        </w:rPr>
        <w:t>Initial approval period: 3 months</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3887C810" w14:textId="77777777" w:rsidR="005A6962" w:rsidRDefault="005A6962" w:rsidP="005A6962">
      <w:pPr>
        <w:pStyle w:val="ListParagraph"/>
        <w:numPr>
          <w:ilvl w:val="0"/>
          <w:numId w:val="17"/>
        </w:numPr>
        <w:ind w:left="360" w:hanging="360"/>
        <w:rPr>
          <w:rFonts w:cs="Arial"/>
          <w:bCs/>
          <w:szCs w:val="20"/>
        </w:rPr>
      </w:pPr>
      <w:bookmarkStart w:id="1" w:name="_Hlk67063913"/>
      <w:r>
        <w:rPr>
          <w:rFonts w:cs="Arial"/>
          <w:bCs/>
          <w:szCs w:val="20"/>
        </w:rPr>
        <w:t xml:space="preserve">Must meet </w:t>
      </w:r>
      <w:proofErr w:type="gramStart"/>
      <w:r>
        <w:rPr>
          <w:rFonts w:cs="Arial"/>
          <w:bCs/>
          <w:szCs w:val="20"/>
        </w:rPr>
        <w:t>all of</w:t>
      </w:r>
      <w:proofErr w:type="gramEnd"/>
      <w:r>
        <w:rPr>
          <w:rFonts w:cs="Arial"/>
          <w:bCs/>
          <w:szCs w:val="20"/>
        </w:rPr>
        <w:t xml:space="preserve"> the following, along with an expectation of monitoring of potassium and magnesium levels</w:t>
      </w:r>
      <w:r w:rsidRPr="00DB1BC8">
        <w:rPr>
          <w:rFonts w:cs="Arial"/>
          <w:bCs/>
          <w:szCs w:val="20"/>
        </w:rPr>
        <w:t>:</w:t>
      </w:r>
    </w:p>
    <w:p w14:paraId="4C12D871" w14:textId="77777777" w:rsidR="005A6962" w:rsidRPr="00145CCB" w:rsidRDefault="005A6962" w:rsidP="005A6962">
      <w:pPr>
        <w:pStyle w:val="ListParagraph"/>
        <w:numPr>
          <w:ilvl w:val="1"/>
          <w:numId w:val="17"/>
        </w:numPr>
        <w:ind w:left="720"/>
        <w:rPr>
          <w:rFonts w:cs="Arial"/>
          <w:bCs/>
          <w:szCs w:val="20"/>
        </w:rPr>
      </w:pPr>
      <w:r w:rsidRPr="00145CCB">
        <w:rPr>
          <w:rFonts w:cs="Arial"/>
          <w:bCs/>
          <w:szCs w:val="20"/>
        </w:rPr>
        <w:t>Recent (within the past 3 months) cortisol levels demonstrating mean urine free cortisol (mUFC) ≤ ULN</w:t>
      </w:r>
      <w:r>
        <w:rPr>
          <w:rFonts w:cs="Arial"/>
          <w:bCs/>
          <w:szCs w:val="20"/>
        </w:rPr>
        <w:t>;</w:t>
      </w:r>
      <w:r w:rsidRPr="00145CCB">
        <w:rPr>
          <w:rFonts w:cs="Arial"/>
          <w:bCs/>
          <w:szCs w:val="20"/>
        </w:rPr>
        <w:t xml:space="preserve"> </w:t>
      </w:r>
      <w:r w:rsidRPr="00145CCB">
        <w:rPr>
          <w:rFonts w:cs="Arial"/>
          <w:b/>
          <w:szCs w:val="20"/>
        </w:rPr>
        <w:t>AND</w:t>
      </w:r>
    </w:p>
    <w:p w14:paraId="0A063D99" w14:textId="77777777" w:rsidR="005A6962" w:rsidRPr="00180A9F" w:rsidRDefault="005A6962" w:rsidP="005A6962">
      <w:pPr>
        <w:pStyle w:val="ListParagraph"/>
        <w:numPr>
          <w:ilvl w:val="1"/>
          <w:numId w:val="17"/>
        </w:numPr>
        <w:ind w:left="720"/>
        <w:rPr>
          <w:rFonts w:cs="Arial"/>
          <w:bCs/>
          <w:szCs w:val="20"/>
        </w:rPr>
      </w:pPr>
      <w:r w:rsidRPr="00145CCB">
        <w:rPr>
          <w:rFonts w:cs="Arial"/>
          <w:bCs/>
          <w:szCs w:val="20"/>
        </w:rPr>
        <w:t>Recent (within the past 3 months) electrocardiogram</w:t>
      </w:r>
      <w:bookmarkEnd w:id="1"/>
    </w:p>
    <w:p w14:paraId="2C75C231" w14:textId="77777777" w:rsidR="005A6962" w:rsidRPr="00C27081" w:rsidRDefault="005A6962" w:rsidP="005A6962">
      <w:pPr>
        <w:pStyle w:val="ListParagraph"/>
        <w:numPr>
          <w:ilvl w:val="0"/>
          <w:numId w:val="16"/>
        </w:numPr>
        <w:rPr>
          <w:rFonts w:cs="Arial"/>
          <w:bCs/>
          <w:szCs w:val="20"/>
        </w:rPr>
      </w:pPr>
      <w:r>
        <w:rPr>
          <w:rFonts w:cs="Arial"/>
          <w:bCs/>
          <w:szCs w:val="20"/>
        </w:rPr>
        <w:t>Continuation approval period: 12 months.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Therapy will deny with presence of one of the following:</w:t>
      </w:r>
    </w:p>
    <w:p w14:paraId="4818D831" w14:textId="77777777" w:rsidR="000208CA" w:rsidRDefault="000208CA" w:rsidP="000208CA">
      <w:pPr>
        <w:pStyle w:val="ListParagraph"/>
        <w:numPr>
          <w:ilvl w:val="1"/>
          <w:numId w:val="6"/>
        </w:numPr>
        <w:rPr>
          <w:rFonts w:cs="Arial"/>
          <w:noProof/>
          <w:szCs w:val="20"/>
        </w:rPr>
      </w:pPr>
      <w:r>
        <w:rPr>
          <w:rFonts w:cs="Arial"/>
          <w:noProof/>
          <w:szCs w:val="20"/>
        </w:rPr>
        <w:t xml:space="preserve">Any approval criteria are not met; </w:t>
      </w:r>
      <w:r w:rsidRPr="001C0DED">
        <w:rPr>
          <w:rFonts w:cs="Arial"/>
          <w:b/>
          <w:bCs/>
          <w:noProof/>
          <w:szCs w:val="20"/>
        </w:rPr>
        <w:t>OR</w:t>
      </w:r>
    </w:p>
    <w:p w14:paraId="7C2AA524" w14:textId="77777777" w:rsidR="000208CA" w:rsidRPr="0030210A" w:rsidRDefault="000208CA" w:rsidP="000208CA">
      <w:pPr>
        <w:pStyle w:val="ListParagraph"/>
        <w:numPr>
          <w:ilvl w:val="1"/>
          <w:numId w:val="6"/>
        </w:numPr>
        <w:rPr>
          <w:rFonts w:cs="Arial"/>
          <w:noProof/>
          <w:szCs w:val="20"/>
        </w:rPr>
      </w:pPr>
      <w:r w:rsidRPr="0030210A">
        <w:rPr>
          <w:rFonts w:cs="Arial"/>
          <w:noProof/>
          <w:szCs w:val="20"/>
        </w:rPr>
        <w:t>Claim exceeds maximum dosing limitation for the following:</w:t>
      </w: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790"/>
        <w:gridCol w:w="2610"/>
      </w:tblGrid>
      <w:tr w:rsidR="000208CA" w:rsidRPr="008275AF" w14:paraId="5EC4233A" w14:textId="77777777" w:rsidTr="001F132C">
        <w:tc>
          <w:tcPr>
            <w:tcW w:w="3420" w:type="dxa"/>
            <w:shd w:val="clear" w:color="auto" w:fill="FABF8F" w:themeFill="accent6" w:themeFillTint="99"/>
            <w:vAlign w:val="bottom"/>
          </w:tcPr>
          <w:p w14:paraId="0B0E5203" w14:textId="77777777" w:rsidR="000208CA" w:rsidRPr="0030210A" w:rsidRDefault="000208CA" w:rsidP="001F132C">
            <w:pPr>
              <w:rPr>
                <w:rFonts w:cs="Arial"/>
                <w:b/>
                <w:bCs/>
                <w:szCs w:val="20"/>
              </w:rPr>
            </w:pPr>
            <w:r w:rsidRPr="0030210A">
              <w:rPr>
                <w:rFonts w:cs="Arial"/>
                <w:b/>
                <w:bCs/>
                <w:szCs w:val="20"/>
              </w:rPr>
              <w:t>Drug Description</w:t>
            </w:r>
          </w:p>
        </w:tc>
        <w:tc>
          <w:tcPr>
            <w:tcW w:w="2790" w:type="dxa"/>
            <w:shd w:val="clear" w:color="auto" w:fill="FABF8F" w:themeFill="accent6" w:themeFillTint="99"/>
            <w:vAlign w:val="bottom"/>
          </w:tcPr>
          <w:p w14:paraId="3F6D015A" w14:textId="77777777" w:rsidR="000208CA" w:rsidRPr="0030210A" w:rsidRDefault="000208CA" w:rsidP="001F132C">
            <w:pPr>
              <w:rPr>
                <w:rFonts w:cs="Arial"/>
                <w:b/>
                <w:bCs/>
                <w:szCs w:val="20"/>
              </w:rPr>
            </w:pPr>
            <w:r w:rsidRPr="0030210A">
              <w:rPr>
                <w:rFonts w:cs="Arial"/>
                <w:b/>
                <w:bCs/>
                <w:szCs w:val="20"/>
              </w:rPr>
              <w:t>Generic Equivalent</w:t>
            </w:r>
          </w:p>
        </w:tc>
        <w:tc>
          <w:tcPr>
            <w:tcW w:w="2610" w:type="dxa"/>
            <w:shd w:val="clear" w:color="auto" w:fill="FABF8F" w:themeFill="accent6" w:themeFillTint="99"/>
          </w:tcPr>
          <w:p w14:paraId="53D99F61" w14:textId="77777777" w:rsidR="000208CA" w:rsidRPr="0030210A" w:rsidRDefault="000208CA" w:rsidP="001F132C">
            <w:pPr>
              <w:rPr>
                <w:rFonts w:cs="Arial"/>
                <w:b/>
                <w:bCs/>
                <w:szCs w:val="20"/>
              </w:rPr>
            </w:pPr>
            <w:r w:rsidRPr="0030210A">
              <w:rPr>
                <w:rFonts w:cs="Arial"/>
                <w:b/>
                <w:bCs/>
                <w:szCs w:val="20"/>
              </w:rPr>
              <w:t>Max Dosing Limitation</w:t>
            </w:r>
          </w:p>
        </w:tc>
      </w:tr>
      <w:tr w:rsidR="000208CA" w:rsidRPr="008275AF" w14:paraId="1A697928" w14:textId="77777777" w:rsidTr="001F132C">
        <w:tc>
          <w:tcPr>
            <w:tcW w:w="3420" w:type="dxa"/>
            <w:tcBorders>
              <w:top w:val="single" w:sz="4" w:space="0" w:color="auto"/>
              <w:left w:val="single" w:sz="4" w:space="0" w:color="auto"/>
              <w:bottom w:val="single" w:sz="4" w:space="0" w:color="auto"/>
              <w:right w:val="single" w:sz="4" w:space="0" w:color="auto"/>
            </w:tcBorders>
          </w:tcPr>
          <w:p w14:paraId="258863DB" w14:textId="77777777" w:rsidR="000208CA" w:rsidRPr="0030210A" w:rsidRDefault="000208CA" w:rsidP="001F132C">
            <w:pPr>
              <w:jc w:val="both"/>
              <w:rPr>
                <w:rFonts w:cs="Arial"/>
                <w:caps/>
                <w:szCs w:val="20"/>
              </w:rPr>
            </w:pPr>
            <w:r w:rsidRPr="0030210A">
              <w:rPr>
                <w:rFonts w:cs="Arial"/>
                <w:caps/>
                <w:szCs w:val="20"/>
              </w:rPr>
              <w:t>ISTURISA 1 MG TABLET</w:t>
            </w:r>
          </w:p>
        </w:tc>
        <w:tc>
          <w:tcPr>
            <w:tcW w:w="2790" w:type="dxa"/>
            <w:tcBorders>
              <w:top w:val="single" w:sz="4" w:space="0" w:color="auto"/>
              <w:left w:val="single" w:sz="4" w:space="0" w:color="auto"/>
              <w:bottom w:val="single" w:sz="4" w:space="0" w:color="auto"/>
              <w:right w:val="single" w:sz="4" w:space="0" w:color="auto"/>
            </w:tcBorders>
          </w:tcPr>
          <w:p w14:paraId="7C6B7EBA" w14:textId="77777777" w:rsidR="000208CA" w:rsidRPr="0030210A" w:rsidRDefault="000208CA" w:rsidP="001F132C">
            <w:pPr>
              <w:rPr>
                <w:rFonts w:cs="Arial"/>
                <w:caps/>
                <w:szCs w:val="20"/>
              </w:rPr>
            </w:pPr>
            <w:r w:rsidRPr="0030210A">
              <w:rPr>
                <w:rFonts w:cs="Arial"/>
                <w:caps/>
                <w:szCs w:val="20"/>
              </w:rPr>
              <w:t>OSILODROSTAT</w:t>
            </w:r>
          </w:p>
        </w:tc>
        <w:tc>
          <w:tcPr>
            <w:tcW w:w="2610" w:type="dxa"/>
            <w:tcBorders>
              <w:top w:val="single" w:sz="4" w:space="0" w:color="auto"/>
              <w:left w:val="single" w:sz="4" w:space="0" w:color="auto"/>
              <w:bottom w:val="single" w:sz="4" w:space="0" w:color="auto"/>
              <w:right w:val="single" w:sz="4" w:space="0" w:color="auto"/>
            </w:tcBorders>
          </w:tcPr>
          <w:p w14:paraId="42E9B249" w14:textId="77777777" w:rsidR="000208CA" w:rsidRPr="0030210A" w:rsidRDefault="000208CA" w:rsidP="001F132C">
            <w:pPr>
              <w:rPr>
                <w:rFonts w:cs="Arial"/>
                <w:szCs w:val="20"/>
              </w:rPr>
            </w:pPr>
            <w:r w:rsidRPr="0030210A">
              <w:rPr>
                <w:rFonts w:cs="Arial"/>
                <w:szCs w:val="20"/>
              </w:rPr>
              <w:t>8 tablets per day</w:t>
            </w:r>
          </w:p>
        </w:tc>
      </w:tr>
      <w:tr w:rsidR="000208CA" w:rsidRPr="008275AF" w14:paraId="1FF3296D" w14:textId="77777777" w:rsidTr="001F132C">
        <w:tc>
          <w:tcPr>
            <w:tcW w:w="3420" w:type="dxa"/>
            <w:tcBorders>
              <w:top w:val="single" w:sz="4" w:space="0" w:color="auto"/>
              <w:left w:val="single" w:sz="4" w:space="0" w:color="auto"/>
              <w:bottom w:val="single" w:sz="4" w:space="0" w:color="auto"/>
              <w:right w:val="single" w:sz="4" w:space="0" w:color="auto"/>
            </w:tcBorders>
          </w:tcPr>
          <w:p w14:paraId="5B59B6D1" w14:textId="77777777" w:rsidR="000208CA" w:rsidRPr="0030210A" w:rsidRDefault="000208CA" w:rsidP="001F132C">
            <w:pPr>
              <w:jc w:val="both"/>
              <w:rPr>
                <w:rFonts w:cs="Arial"/>
                <w:caps/>
                <w:szCs w:val="20"/>
              </w:rPr>
            </w:pPr>
            <w:r w:rsidRPr="0030210A">
              <w:rPr>
                <w:rFonts w:cs="Arial"/>
                <w:caps/>
                <w:szCs w:val="20"/>
              </w:rPr>
              <w:t>ISTURISA 5 MG TABLET</w:t>
            </w:r>
          </w:p>
        </w:tc>
        <w:tc>
          <w:tcPr>
            <w:tcW w:w="2790" w:type="dxa"/>
            <w:tcBorders>
              <w:top w:val="single" w:sz="4" w:space="0" w:color="auto"/>
              <w:left w:val="single" w:sz="4" w:space="0" w:color="auto"/>
              <w:bottom w:val="single" w:sz="4" w:space="0" w:color="auto"/>
              <w:right w:val="single" w:sz="4" w:space="0" w:color="auto"/>
            </w:tcBorders>
          </w:tcPr>
          <w:p w14:paraId="1BC74E1D" w14:textId="77777777" w:rsidR="000208CA" w:rsidRPr="0030210A" w:rsidRDefault="000208CA" w:rsidP="001F132C">
            <w:pPr>
              <w:rPr>
                <w:rFonts w:cs="Arial"/>
                <w:caps/>
                <w:szCs w:val="20"/>
              </w:rPr>
            </w:pPr>
            <w:r w:rsidRPr="0030210A">
              <w:rPr>
                <w:rFonts w:cs="Arial"/>
                <w:caps/>
                <w:szCs w:val="20"/>
              </w:rPr>
              <w:t>OSILODROSTAT</w:t>
            </w:r>
          </w:p>
        </w:tc>
        <w:tc>
          <w:tcPr>
            <w:tcW w:w="2610" w:type="dxa"/>
            <w:tcBorders>
              <w:top w:val="single" w:sz="4" w:space="0" w:color="auto"/>
              <w:left w:val="single" w:sz="4" w:space="0" w:color="auto"/>
              <w:bottom w:val="single" w:sz="4" w:space="0" w:color="auto"/>
              <w:right w:val="single" w:sz="4" w:space="0" w:color="auto"/>
            </w:tcBorders>
          </w:tcPr>
          <w:p w14:paraId="480C6E60" w14:textId="77777777" w:rsidR="000208CA" w:rsidRPr="006413DF" w:rsidRDefault="000208CA" w:rsidP="001F132C">
            <w:pPr>
              <w:rPr>
                <w:rFonts w:cs="Arial"/>
                <w:szCs w:val="20"/>
              </w:rPr>
            </w:pPr>
            <w:r w:rsidRPr="006413DF">
              <w:rPr>
                <w:rFonts w:cs="Arial"/>
                <w:szCs w:val="20"/>
              </w:rPr>
              <w:t>12 tablets per day</w:t>
            </w:r>
          </w:p>
        </w:tc>
      </w:tr>
      <w:tr w:rsidR="000208CA" w:rsidRPr="008275AF" w14:paraId="33C00559" w14:textId="77777777" w:rsidTr="001F132C">
        <w:tc>
          <w:tcPr>
            <w:tcW w:w="3420" w:type="dxa"/>
            <w:tcBorders>
              <w:top w:val="single" w:sz="4" w:space="0" w:color="auto"/>
              <w:left w:val="single" w:sz="4" w:space="0" w:color="auto"/>
              <w:bottom w:val="single" w:sz="4" w:space="0" w:color="auto"/>
              <w:right w:val="single" w:sz="4" w:space="0" w:color="auto"/>
            </w:tcBorders>
          </w:tcPr>
          <w:p w14:paraId="4E88F830" w14:textId="77777777" w:rsidR="000208CA" w:rsidRPr="0030210A" w:rsidRDefault="000208CA" w:rsidP="001F132C">
            <w:pPr>
              <w:jc w:val="both"/>
              <w:rPr>
                <w:rFonts w:cs="Arial"/>
                <w:caps/>
                <w:szCs w:val="20"/>
              </w:rPr>
            </w:pPr>
            <w:r w:rsidRPr="0030210A">
              <w:rPr>
                <w:rFonts w:cs="Arial"/>
                <w:caps/>
                <w:szCs w:val="20"/>
              </w:rPr>
              <w:t>ISTURISA 10 MG TABLET</w:t>
            </w:r>
          </w:p>
        </w:tc>
        <w:tc>
          <w:tcPr>
            <w:tcW w:w="2790" w:type="dxa"/>
            <w:tcBorders>
              <w:top w:val="single" w:sz="4" w:space="0" w:color="auto"/>
              <w:left w:val="single" w:sz="4" w:space="0" w:color="auto"/>
              <w:bottom w:val="single" w:sz="4" w:space="0" w:color="auto"/>
              <w:right w:val="single" w:sz="4" w:space="0" w:color="auto"/>
            </w:tcBorders>
          </w:tcPr>
          <w:p w14:paraId="77A62F1D" w14:textId="77777777" w:rsidR="000208CA" w:rsidRPr="0030210A" w:rsidRDefault="000208CA" w:rsidP="001F132C">
            <w:pPr>
              <w:rPr>
                <w:rFonts w:cs="Arial"/>
                <w:caps/>
                <w:szCs w:val="20"/>
              </w:rPr>
            </w:pPr>
            <w:r w:rsidRPr="0030210A">
              <w:rPr>
                <w:rFonts w:cs="Arial"/>
                <w:caps/>
                <w:szCs w:val="20"/>
              </w:rPr>
              <w:t>OSILODROSTAT</w:t>
            </w:r>
          </w:p>
        </w:tc>
        <w:tc>
          <w:tcPr>
            <w:tcW w:w="2610" w:type="dxa"/>
            <w:tcBorders>
              <w:top w:val="single" w:sz="4" w:space="0" w:color="auto"/>
              <w:left w:val="single" w:sz="4" w:space="0" w:color="auto"/>
              <w:bottom w:val="single" w:sz="4" w:space="0" w:color="auto"/>
              <w:right w:val="single" w:sz="4" w:space="0" w:color="auto"/>
            </w:tcBorders>
          </w:tcPr>
          <w:p w14:paraId="3D6A5808" w14:textId="77777777" w:rsidR="000208CA" w:rsidRPr="0030210A" w:rsidRDefault="000208CA" w:rsidP="001F132C">
            <w:pPr>
              <w:rPr>
                <w:rFonts w:cs="Arial"/>
                <w:szCs w:val="20"/>
              </w:rPr>
            </w:pPr>
            <w:r w:rsidRPr="0030210A">
              <w:rPr>
                <w:rFonts w:cs="Arial"/>
                <w:szCs w:val="20"/>
              </w:rPr>
              <w:t>6 tablets per day</w:t>
            </w:r>
          </w:p>
        </w:tc>
      </w:tr>
    </w:tbl>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2"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1F81E3DD" w:rsidR="00343D6B" w:rsidRPr="00D21C2C" w:rsidRDefault="00343D6B" w:rsidP="00696E3A">
      <w:pPr>
        <w:rPr>
          <w:rFonts w:cs="Arial"/>
          <w:szCs w:val="20"/>
        </w:rPr>
      </w:pPr>
      <w:r w:rsidRPr="00696E3A">
        <w:rPr>
          <w:b/>
          <w:bCs/>
        </w:rPr>
        <w:t>Default Approval Period:</w:t>
      </w:r>
      <w:r w:rsidR="00973BD6">
        <w:t xml:space="preserve"> </w:t>
      </w:r>
      <w:r w:rsidR="00D21C2C" w:rsidRPr="00DB1BC8">
        <w:rPr>
          <w:rFonts w:cs="Arial"/>
          <w:szCs w:val="20"/>
        </w:rPr>
        <w:t>3 months</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3077C0B8" w14:textId="5879CB95" w:rsidR="007B6C6D" w:rsidRPr="00C46A0D" w:rsidRDefault="007B6C6D" w:rsidP="007B6C6D">
      <w:pPr>
        <w:pStyle w:val="Header"/>
        <w:numPr>
          <w:ilvl w:val="0"/>
          <w:numId w:val="19"/>
        </w:numPr>
        <w:ind w:left="360"/>
        <w:rPr>
          <w:rStyle w:val="normaltextrun"/>
          <w:rFonts w:cs="Arial"/>
          <w:sz w:val="20"/>
          <w:shd w:val="clear" w:color="auto" w:fill="FFFFFF"/>
          <w:lang w:val="it-IT"/>
        </w:rPr>
      </w:pPr>
      <w:r w:rsidRPr="00C46A0D">
        <w:rPr>
          <w:rStyle w:val="normaltextrun"/>
          <w:rFonts w:cs="Arial"/>
          <w:sz w:val="20"/>
          <w:shd w:val="clear" w:color="auto" w:fill="FFFFFF"/>
          <w:lang w:val="it-IT"/>
        </w:rPr>
        <w:t>Isturisa (osilodrostat) [package insert]. Lebanon, NJ: Recordati Rare Disease Inc; November 202</w:t>
      </w:r>
      <w:r w:rsidR="00825B65">
        <w:rPr>
          <w:rStyle w:val="normaltextrun"/>
          <w:rFonts w:cs="Arial"/>
          <w:sz w:val="20"/>
          <w:shd w:val="clear" w:color="auto" w:fill="FFFFFF"/>
          <w:lang w:val="it-IT"/>
        </w:rPr>
        <w:t>5</w:t>
      </w:r>
      <w:r w:rsidRPr="00C46A0D">
        <w:rPr>
          <w:rStyle w:val="normaltextrun"/>
          <w:rFonts w:cs="Arial"/>
          <w:sz w:val="20"/>
          <w:shd w:val="clear" w:color="auto" w:fill="FFFFFF"/>
          <w:lang w:val="it-IT"/>
        </w:rPr>
        <w:t>.</w:t>
      </w:r>
    </w:p>
    <w:p w14:paraId="7D29171A" w14:textId="77777777" w:rsidR="007B6C6D" w:rsidRPr="007D1008" w:rsidRDefault="007B6C6D" w:rsidP="007B6C6D">
      <w:pPr>
        <w:pStyle w:val="Header"/>
        <w:numPr>
          <w:ilvl w:val="0"/>
          <w:numId w:val="19"/>
        </w:numPr>
        <w:ind w:left="360"/>
        <w:rPr>
          <w:rStyle w:val="normaltextrun"/>
          <w:rFonts w:cs="Arial"/>
          <w:sz w:val="20"/>
          <w:shd w:val="clear" w:color="auto" w:fill="FFFFFF"/>
        </w:rPr>
      </w:pPr>
      <w:r w:rsidRPr="007D1008">
        <w:rPr>
          <w:rStyle w:val="normaltextrun"/>
          <w:rFonts w:cs="Arial"/>
          <w:sz w:val="20"/>
          <w:shd w:val="clear" w:color="auto" w:fill="FFFFFF"/>
        </w:rPr>
        <w:t>IPD Analytics. New Drug Review: Isturisa (osilodrostat). March 2020.</w:t>
      </w:r>
    </w:p>
    <w:p w14:paraId="3FA1E7DB" w14:textId="16827D7B" w:rsidR="00777CA4" w:rsidRPr="007B6C6D" w:rsidRDefault="007B6C6D" w:rsidP="007B6C6D">
      <w:pPr>
        <w:pStyle w:val="Header"/>
        <w:numPr>
          <w:ilvl w:val="0"/>
          <w:numId w:val="19"/>
        </w:numPr>
        <w:tabs>
          <w:tab w:val="clear" w:pos="4320"/>
          <w:tab w:val="clear" w:pos="8640"/>
        </w:tabs>
        <w:ind w:left="360"/>
        <w:rPr>
          <w:rFonts w:cs="Arial"/>
          <w:sz w:val="20"/>
        </w:rPr>
      </w:pPr>
      <w:r w:rsidRPr="007D1008">
        <w:rPr>
          <w:rStyle w:val="normaltextrun"/>
          <w:rFonts w:cs="Arial"/>
          <w:sz w:val="20"/>
          <w:shd w:val="clear" w:color="auto" w:fill="FFFFFF"/>
        </w:rPr>
        <w:t>Nieman L., Biller B., Findling J., et al. Treatment of Cushing’s Syndrome: An Endocrine Society Clinical Practice Guideline. The Journal of Clinical Endocrinology &amp; Metabolism; 2015;100(8):2807-283.</w:t>
      </w:r>
    </w:p>
    <w:sectPr w:rsidR="00777CA4" w:rsidRPr="007B6C6D"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0EFD" w14:textId="77777777" w:rsidR="00BB49C7" w:rsidRPr="00C02553" w:rsidRDefault="00BB49C7" w:rsidP="00AE77DB">
      <w:r w:rsidRPr="00C02553">
        <w:separator/>
      </w:r>
    </w:p>
  </w:endnote>
  <w:endnote w:type="continuationSeparator" w:id="0">
    <w:p w14:paraId="6BC29702" w14:textId="77777777" w:rsidR="00BB49C7" w:rsidRPr="00C02553" w:rsidRDefault="00BB49C7" w:rsidP="00AE77DB">
      <w:r w:rsidRPr="00C02553">
        <w:continuationSeparator/>
      </w:r>
    </w:p>
  </w:endnote>
  <w:endnote w:type="continuationNotice" w:id="1">
    <w:p w14:paraId="5465E03E" w14:textId="77777777" w:rsidR="00BB49C7" w:rsidRPr="00C02553" w:rsidRDefault="00BB4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08ED" w14:textId="77777777" w:rsidR="00BB49C7" w:rsidRPr="00C02553" w:rsidRDefault="00BB49C7" w:rsidP="00AE77DB">
      <w:r w:rsidRPr="00C02553">
        <w:separator/>
      </w:r>
    </w:p>
  </w:footnote>
  <w:footnote w:type="continuationSeparator" w:id="0">
    <w:p w14:paraId="33C617FE" w14:textId="77777777" w:rsidR="00BB49C7" w:rsidRPr="00C02553" w:rsidRDefault="00BB49C7" w:rsidP="00AE77DB">
      <w:r w:rsidRPr="00C02553">
        <w:continuationSeparator/>
      </w:r>
    </w:p>
  </w:footnote>
  <w:footnote w:type="continuationNotice" w:id="1">
    <w:p w14:paraId="19E91A0C" w14:textId="77777777" w:rsidR="00BB49C7" w:rsidRPr="00C02553" w:rsidRDefault="00BB4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F81E00">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F81E00">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F81E00">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848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9F0DC8"/>
    <w:multiLevelType w:val="hybridMultilevel"/>
    <w:tmpl w:val="A5AC28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8D40C3"/>
    <w:multiLevelType w:val="multilevel"/>
    <w:tmpl w:val="E1A2A51C"/>
    <w:numStyleLink w:val="References"/>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6A0353"/>
    <w:multiLevelType w:val="hybridMultilevel"/>
    <w:tmpl w:val="7694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3348F"/>
    <w:multiLevelType w:val="hybridMultilevel"/>
    <w:tmpl w:val="07C8CF52"/>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064CF6"/>
    <w:multiLevelType w:val="hybridMultilevel"/>
    <w:tmpl w:val="B0183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5"/>
  </w:num>
  <w:num w:numId="4" w16cid:durableId="320159068">
    <w:abstractNumId w:val="11"/>
  </w:num>
  <w:num w:numId="5" w16cid:durableId="1769498754">
    <w:abstractNumId w:val="4"/>
  </w:num>
  <w:num w:numId="6" w16cid:durableId="1094596320">
    <w:abstractNumId w:val="15"/>
  </w:num>
  <w:num w:numId="7" w16cid:durableId="2110008555">
    <w:abstractNumId w:val="2"/>
  </w:num>
  <w:num w:numId="8" w16cid:durableId="489712751">
    <w:abstractNumId w:val="8"/>
  </w:num>
  <w:num w:numId="9" w16cid:durableId="1085147965">
    <w:abstractNumId w:val="13"/>
  </w:num>
  <w:num w:numId="10" w16cid:durableId="917518096">
    <w:abstractNumId w:val="12"/>
  </w:num>
  <w:num w:numId="11" w16cid:durableId="1894998475">
    <w:abstractNumId w:val="1"/>
  </w:num>
  <w:num w:numId="12" w16cid:durableId="1418215296">
    <w:abstractNumId w:val="16"/>
  </w:num>
  <w:num w:numId="13" w16cid:durableId="604729665">
    <w:abstractNumId w:val="6"/>
  </w:num>
  <w:num w:numId="14" w16cid:durableId="1805081292">
    <w:abstractNumId w:val="14"/>
  </w:num>
  <w:num w:numId="15" w16cid:durableId="1911186802">
    <w:abstractNumId w:val="7"/>
  </w:num>
  <w:num w:numId="16" w16cid:durableId="929585500">
    <w:abstractNumId w:val="3"/>
  </w:num>
  <w:num w:numId="17" w16cid:durableId="1553156340">
    <w:abstractNumId w:val="10"/>
  </w:num>
  <w:num w:numId="18" w16cid:durableId="1056315483">
    <w:abstractNumId w:val="17"/>
  </w:num>
  <w:num w:numId="19" w16cid:durableId="22564809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Q5NHQd1dIqRsD3XaVbO0GmusXyN8YVF10q5vmhrfgZUZ9pG4UQ+J+SP7o6vTUnIlFkgclm3Euo4Bq8IKngpsjQ==" w:salt="CU25GZWsdg9eDitpcvTvX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4334"/>
    <w:rsid w:val="00017CBA"/>
    <w:rsid w:val="000208CA"/>
    <w:rsid w:val="000276D9"/>
    <w:rsid w:val="000344C5"/>
    <w:rsid w:val="00040AD3"/>
    <w:rsid w:val="00050133"/>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D6DFA"/>
    <w:rsid w:val="000E1479"/>
    <w:rsid w:val="000E15B0"/>
    <w:rsid w:val="000E231E"/>
    <w:rsid w:val="000E247D"/>
    <w:rsid w:val="000E6B14"/>
    <w:rsid w:val="000E70D8"/>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7A80"/>
    <w:rsid w:val="001808B8"/>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473A1"/>
    <w:rsid w:val="00250FBF"/>
    <w:rsid w:val="00255404"/>
    <w:rsid w:val="0025594F"/>
    <w:rsid w:val="00270C5E"/>
    <w:rsid w:val="00290A03"/>
    <w:rsid w:val="0029159A"/>
    <w:rsid w:val="00291600"/>
    <w:rsid w:val="002A02F4"/>
    <w:rsid w:val="002C2C41"/>
    <w:rsid w:val="002C62E7"/>
    <w:rsid w:val="002E05E2"/>
    <w:rsid w:val="002E2DD6"/>
    <w:rsid w:val="002E3F28"/>
    <w:rsid w:val="002F0E52"/>
    <w:rsid w:val="002F15CF"/>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4CEF"/>
    <w:rsid w:val="003355AC"/>
    <w:rsid w:val="00343D6B"/>
    <w:rsid w:val="00346090"/>
    <w:rsid w:val="00347FB5"/>
    <w:rsid w:val="00355515"/>
    <w:rsid w:val="003608B5"/>
    <w:rsid w:val="003613AF"/>
    <w:rsid w:val="00362B44"/>
    <w:rsid w:val="00371119"/>
    <w:rsid w:val="003878C1"/>
    <w:rsid w:val="00396C0B"/>
    <w:rsid w:val="003A630F"/>
    <w:rsid w:val="003B3958"/>
    <w:rsid w:val="003B4820"/>
    <w:rsid w:val="003B5F4B"/>
    <w:rsid w:val="003B682F"/>
    <w:rsid w:val="003C53FC"/>
    <w:rsid w:val="003C7013"/>
    <w:rsid w:val="003D4704"/>
    <w:rsid w:val="003D641B"/>
    <w:rsid w:val="003F227C"/>
    <w:rsid w:val="004023CC"/>
    <w:rsid w:val="0040525D"/>
    <w:rsid w:val="00407564"/>
    <w:rsid w:val="00411152"/>
    <w:rsid w:val="004156AA"/>
    <w:rsid w:val="004253A1"/>
    <w:rsid w:val="004313B6"/>
    <w:rsid w:val="00433339"/>
    <w:rsid w:val="004360C5"/>
    <w:rsid w:val="00440ACC"/>
    <w:rsid w:val="00446BBC"/>
    <w:rsid w:val="004472C0"/>
    <w:rsid w:val="00450705"/>
    <w:rsid w:val="00451928"/>
    <w:rsid w:val="00460B5D"/>
    <w:rsid w:val="0046618B"/>
    <w:rsid w:val="0048608C"/>
    <w:rsid w:val="00496E57"/>
    <w:rsid w:val="004B3E10"/>
    <w:rsid w:val="004C0F5D"/>
    <w:rsid w:val="004C375A"/>
    <w:rsid w:val="004C4954"/>
    <w:rsid w:val="004C5767"/>
    <w:rsid w:val="004D0080"/>
    <w:rsid w:val="004D5322"/>
    <w:rsid w:val="004D78B0"/>
    <w:rsid w:val="004E611F"/>
    <w:rsid w:val="004F1F13"/>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36558"/>
    <w:rsid w:val="00540977"/>
    <w:rsid w:val="00551668"/>
    <w:rsid w:val="005572D5"/>
    <w:rsid w:val="00566BE4"/>
    <w:rsid w:val="00570D21"/>
    <w:rsid w:val="00576113"/>
    <w:rsid w:val="00590652"/>
    <w:rsid w:val="0059235F"/>
    <w:rsid w:val="00596936"/>
    <w:rsid w:val="005A2F1E"/>
    <w:rsid w:val="005A4232"/>
    <w:rsid w:val="005A6962"/>
    <w:rsid w:val="005C3616"/>
    <w:rsid w:val="005D36B2"/>
    <w:rsid w:val="005D52E7"/>
    <w:rsid w:val="005D78B5"/>
    <w:rsid w:val="005E3572"/>
    <w:rsid w:val="005E45E4"/>
    <w:rsid w:val="005F0A81"/>
    <w:rsid w:val="005F0FCF"/>
    <w:rsid w:val="005F2720"/>
    <w:rsid w:val="005F6104"/>
    <w:rsid w:val="0060042F"/>
    <w:rsid w:val="006008BC"/>
    <w:rsid w:val="00602CFD"/>
    <w:rsid w:val="00606B55"/>
    <w:rsid w:val="00612A7B"/>
    <w:rsid w:val="00616E5E"/>
    <w:rsid w:val="006173A4"/>
    <w:rsid w:val="006205AD"/>
    <w:rsid w:val="00625C3A"/>
    <w:rsid w:val="00635DDB"/>
    <w:rsid w:val="0064149A"/>
    <w:rsid w:val="00645AE8"/>
    <w:rsid w:val="00646DFE"/>
    <w:rsid w:val="00650530"/>
    <w:rsid w:val="00650C96"/>
    <w:rsid w:val="00653788"/>
    <w:rsid w:val="0065477F"/>
    <w:rsid w:val="00656896"/>
    <w:rsid w:val="00661656"/>
    <w:rsid w:val="0066374F"/>
    <w:rsid w:val="00677C65"/>
    <w:rsid w:val="00693152"/>
    <w:rsid w:val="00694FAE"/>
    <w:rsid w:val="00696E3A"/>
    <w:rsid w:val="006A0834"/>
    <w:rsid w:val="006A384A"/>
    <w:rsid w:val="006A4BBD"/>
    <w:rsid w:val="006A52F1"/>
    <w:rsid w:val="006B561D"/>
    <w:rsid w:val="006B6D5D"/>
    <w:rsid w:val="006D2330"/>
    <w:rsid w:val="006E0F8B"/>
    <w:rsid w:val="006E12F7"/>
    <w:rsid w:val="006E29D7"/>
    <w:rsid w:val="006F7E10"/>
    <w:rsid w:val="007068A4"/>
    <w:rsid w:val="00706D67"/>
    <w:rsid w:val="00713052"/>
    <w:rsid w:val="00721367"/>
    <w:rsid w:val="007231FA"/>
    <w:rsid w:val="00732C67"/>
    <w:rsid w:val="00734418"/>
    <w:rsid w:val="00744C2E"/>
    <w:rsid w:val="00757826"/>
    <w:rsid w:val="00762B13"/>
    <w:rsid w:val="007632B7"/>
    <w:rsid w:val="0076382F"/>
    <w:rsid w:val="00765768"/>
    <w:rsid w:val="00765D10"/>
    <w:rsid w:val="00766AC8"/>
    <w:rsid w:val="00767486"/>
    <w:rsid w:val="0077070E"/>
    <w:rsid w:val="0077296A"/>
    <w:rsid w:val="007763A3"/>
    <w:rsid w:val="00777CA4"/>
    <w:rsid w:val="007905B3"/>
    <w:rsid w:val="00792DF0"/>
    <w:rsid w:val="0079438F"/>
    <w:rsid w:val="007A3034"/>
    <w:rsid w:val="007A527E"/>
    <w:rsid w:val="007A53E7"/>
    <w:rsid w:val="007A78F7"/>
    <w:rsid w:val="007B3333"/>
    <w:rsid w:val="007B379F"/>
    <w:rsid w:val="007B37D6"/>
    <w:rsid w:val="007B5D30"/>
    <w:rsid w:val="007B69F7"/>
    <w:rsid w:val="007B6C6D"/>
    <w:rsid w:val="007D2920"/>
    <w:rsid w:val="007D42DD"/>
    <w:rsid w:val="007E6A37"/>
    <w:rsid w:val="007F1774"/>
    <w:rsid w:val="007F593C"/>
    <w:rsid w:val="00811A70"/>
    <w:rsid w:val="0081406E"/>
    <w:rsid w:val="00824C99"/>
    <w:rsid w:val="00825B65"/>
    <w:rsid w:val="00832211"/>
    <w:rsid w:val="008325F4"/>
    <w:rsid w:val="00832AC8"/>
    <w:rsid w:val="00846FA4"/>
    <w:rsid w:val="008524BA"/>
    <w:rsid w:val="00852B74"/>
    <w:rsid w:val="00856928"/>
    <w:rsid w:val="0085780F"/>
    <w:rsid w:val="00865538"/>
    <w:rsid w:val="00870875"/>
    <w:rsid w:val="0088055D"/>
    <w:rsid w:val="00881D87"/>
    <w:rsid w:val="0088225C"/>
    <w:rsid w:val="00884026"/>
    <w:rsid w:val="00884C78"/>
    <w:rsid w:val="008859E1"/>
    <w:rsid w:val="00887E13"/>
    <w:rsid w:val="008931D3"/>
    <w:rsid w:val="00896264"/>
    <w:rsid w:val="008A2549"/>
    <w:rsid w:val="008A5D88"/>
    <w:rsid w:val="008B2851"/>
    <w:rsid w:val="008C000E"/>
    <w:rsid w:val="008D0F2F"/>
    <w:rsid w:val="008D237F"/>
    <w:rsid w:val="008D3FD8"/>
    <w:rsid w:val="008D6B05"/>
    <w:rsid w:val="008E7D2D"/>
    <w:rsid w:val="008F44C0"/>
    <w:rsid w:val="008F5999"/>
    <w:rsid w:val="00901981"/>
    <w:rsid w:val="00903AD6"/>
    <w:rsid w:val="00904D7A"/>
    <w:rsid w:val="00915332"/>
    <w:rsid w:val="009204BB"/>
    <w:rsid w:val="00935918"/>
    <w:rsid w:val="00935EC3"/>
    <w:rsid w:val="00941D04"/>
    <w:rsid w:val="00951097"/>
    <w:rsid w:val="00953C1E"/>
    <w:rsid w:val="009575DF"/>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187C"/>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2004"/>
    <w:rsid w:val="00A53E96"/>
    <w:rsid w:val="00A56F18"/>
    <w:rsid w:val="00A628F8"/>
    <w:rsid w:val="00A62BAA"/>
    <w:rsid w:val="00A66172"/>
    <w:rsid w:val="00A744C3"/>
    <w:rsid w:val="00AA70AB"/>
    <w:rsid w:val="00AB0B9F"/>
    <w:rsid w:val="00AB1713"/>
    <w:rsid w:val="00AB63BE"/>
    <w:rsid w:val="00AC1EBC"/>
    <w:rsid w:val="00AC2599"/>
    <w:rsid w:val="00AC2DE9"/>
    <w:rsid w:val="00AC3CD9"/>
    <w:rsid w:val="00AD2C5F"/>
    <w:rsid w:val="00AD3720"/>
    <w:rsid w:val="00AE1481"/>
    <w:rsid w:val="00AE27F9"/>
    <w:rsid w:val="00AE77DB"/>
    <w:rsid w:val="00AF7453"/>
    <w:rsid w:val="00B00EDC"/>
    <w:rsid w:val="00B00FFF"/>
    <w:rsid w:val="00B06084"/>
    <w:rsid w:val="00B16735"/>
    <w:rsid w:val="00B17EDE"/>
    <w:rsid w:val="00B22585"/>
    <w:rsid w:val="00B27EA2"/>
    <w:rsid w:val="00B33693"/>
    <w:rsid w:val="00B34C53"/>
    <w:rsid w:val="00B507A5"/>
    <w:rsid w:val="00B52475"/>
    <w:rsid w:val="00B535DA"/>
    <w:rsid w:val="00B56D28"/>
    <w:rsid w:val="00B56DCC"/>
    <w:rsid w:val="00B56F54"/>
    <w:rsid w:val="00B57F63"/>
    <w:rsid w:val="00B638C2"/>
    <w:rsid w:val="00B758AB"/>
    <w:rsid w:val="00B76277"/>
    <w:rsid w:val="00B772AB"/>
    <w:rsid w:val="00B80395"/>
    <w:rsid w:val="00B80B56"/>
    <w:rsid w:val="00B813B1"/>
    <w:rsid w:val="00B81482"/>
    <w:rsid w:val="00B86372"/>
    <w:rsid w:val="00B873A1"/>
    <w:rsid w:val="00BA1C17"/>
    <w:rsid w:val="00BA1D65"/>
    <w:rsid w:val="00BB3B4D"/>
    <w:rsid w:val="00BB49C7"/>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3B38"/>
    <w:rsid w:val="00C14D52"/>
    <w:rsid w:val="00C2586C"/>
    <w:rsid w:val="00C26001"/>
    <w:rsid w:val="00C26B1E"/>
    <w:rsid w:val="00C34E72"/>
    <w:rsid w:val="00C56B1F"/>
    <w:rsid w:val="00C61B52"/>
    <w:rsid w:val="00C62745"/>
    <w:rsid w:val="00C654CA"/>
    <w:rsid w:val="00C75A79"/>
    <w:rsid w:val="00C763BD"/>
    <w:rsid w:val="00C779A8"/>
    <w:rsid w:val="00C82E19"/>
    <w:rsid w:val="00C96873"/>
    <w:rsid w:val="00CA1735"/>
    <w:rsid w:val="00CA207E"/>
    <w:rsid w:val="00CA3C4B"/>
    <w:rsid w:val="00CA7252"/>
    <w:rsid w:val="00CB2C5A"/>
    <w:rsid w:val="00CE0C1C"/>
    <w:rsid w:val="00CE34AF"/>
    <w:rsid w:val="00CE4FD1"/>
    <w:rsid w:val="00CF00A4"/>
    <w:rsid w:val="00CF25FB"/>
    <w:rsid w:val="00CF614C"/>
    <w:rsid w:val="00D02F34"/>
    <w:rsid w:val="00D0592F"/>
    <w:rsid w:val="00D13D87"/>
    <w:rsid w:val="00D16590"/>
    <w:rsid w:val="00D20720"/>
    <w:rsid w:val="00D21C2C"/>
    <w:rsid w:val="00D232D9"/>
    <w:rsid w:val="00D250D9"/>
    <w:rsid w:val="00D27533"/>
    <w:rsid w:val="00D42DA3"/>
    <w:rsid w:val="00D4546D"/>
    <w:rsid w:val="00D47996"/>
    <w:rsid w:val="00D61118"/>
    <w:rsid w:val="00D614F1"/>
    <w:rsid w:val="00D70D50"/>
    <w:rsid w:val="00D71917"/>
    <w:rsid w:val="00D85D2B"/>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094"/>
    <w:rsid w:val="00E72221"/>
    <w:rsid w:val="00E771EB"/>
    <w:rsid w:val="00E81B96"/>
    <w:rsid w:val="00E83428"/>
    <w:rsid w:val="00E83F28"/>
    <w:rsid w:val="00E84C58"/>
    <w:rsid w:val="00E8621A"/>
    <w:rsid w:val="00E873A5"/>
    <w:rsid w:val="00E90D11"/>
    <w:rsid w:val="00E915E5"/>
    <w:rsid w:val="00EB0367"/>
    <w:rsid w:val="00EB4FB9"/>
    <w:rsid w:val="00EB5BC8"/>
    <w:rsid w:val="00EC2738"/>
    <w:rsid w:val="00ED0709"/>
    <w:rsid w:val="00ED760F"/>
    <w:rsid w:val="00ED7B42"/>
    <w:rsid w:val="00EE3EA5"/>
    <w:rsid w:val="00EE613F"/>
    <w:rsid w:val="00EE6BD1"/>
    <w:rsid w:val="00EF0262"/>
    <w:rsid w:val="00EF0828"/>
    <w:rsid w:val="00EF6F8B"/>
    <w:rsid w:val="00F03898"/>
    <w:rsid w:val="00F1527A"/>
    <w:rsid w:val="00F224B6"/>
    <w:rsid w:val="00F2696B"/>
    <w:rsid w:val="00F27821"/>
    <w:rsid w:val="00F4092A"/>
    <w:rsid w:val="00F41F69"/>
    <w:rsid w:val="00F43B84"/>
    <w:rsid w:val="00F43E41"/>
    <w:rsid w:val="00F4790C"/>
    <w:rsid w:val="00F50C4B"/>
    <w:rsid w:val="00F54C08"/>
    <w:rsid w:val="00F553A2"/>
    <w:rsid w:val="00F6068C"/>
    <w:rsid w:val="00F62F33"/>
    <w:rsid w:val="00F634C1"/>
    <w:rsid w:val="00F63A52"/>
    <w:rsid w:val="00F730BA"/>
    <w:rsid w:val="00F81E00"/>
    <w:rsid w:val="00F87CCE"/>
    <w:rsid w:val="00F903BE"/>
    <w:rsid w:val="00F95D04"/>
    <w:rsid w:val="00FA16EC"/>
    <w:rsid w:val="00FA2811"/>
    <w:rsid w:val="00FA4837"/>
    <w:rsid w:val="00FB1D33"/>
    <w:rsid w:val="00FB5E96"/>
    <w:rsid w:val="00FB7CFD"/>
    <w:rsid w:val="00FC05A0"/>
    <w:rsid w:val="00FC6758"/>
    <w:rsid w:val="00FD34EA"/>
    <w:rsid w:val="00FE3F3E"/>
    <w:rsid w:val="00FE4D52"/>
    <w:rsid w:val="00FE5AEE"/>
    <w:rsid w:val="00FE74D0"/>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2473A1"/>
    <w:rPr>
      <w:sz w:val="16"/>
      <w:szCs w:val="16"/>
    </w:rPr>
  </w:style>
  <w:style w:type="paragraph" w:styleId="CommentSubject">
    <w:name w:val="annotation subject"/>
    <w:basedOn w:val="CommentText"/>
    <w:next w:val="CommentText"/>
    <w:link w:val="CommentSubjectChar"/>
    <w:uiPriority w:val="99"/>
    <w:semiHidden/>
    <w:unhideWhenUsed/>
    <w:rsid w:val="002473A1"/>
    <w:rPr>
      <w:b/>
      <w:bCs/>
    </w:rPr>
  </w:style>
  <w:style w:type="character" w:customStyle="1" w:styleId="CommentTextChar">
    <w:name w:val="Comment Text Char"/>
    <w:basedOn w:val="DefaultParagraphFont"/>
    <w:link w:val="CommentText"/>
    <w:semiHidden/>
    <w:rsid w:val="002473A1"/>
    <w:rPr>
      <w:rFonts w:ascii="Arial" w:hAnsi="Arial"/>
    </w:rPr>
  </w:style>
  <w:style w:type="character" w:customStyle="1" w:styleId="CommentSubjectChar">
    <w:name w:val="Comment Subject Char"/>
    <w:basedOn w:val="CommentTextChar"/>
    <w:link w:val="CommentSubject"/>
    <w:uiPriority w:val="99"/>
    <w:semiHidden/>
    <w:rsid w:val="002473A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f5eefb00-5952-4f7e-8cf8-96f81cfadd01"/>
    <ds:schemaRef ds:uri="http://purl.org/dc/elements/1.1/"/>
    <ds:schemaRef ds:uri="http://schemas.microsoft.com/office/infopath/2007/PartnerControls"/>
    <ds:schemaRef ds:uri="aba01ddc-ae9a-4c9e-819c-7140b4239cde"/>
    <ds:schemaRef ds:uri="http://www.w3.org/XML/1998/namespac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FE5312AE-2905-4B74-B6E6-EC2E4F559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587</Words>
  <Characters>3435</Characters>
  <Application>Microsoft Office Word</Application>
  <DocSecurity>10</DocSecurity>
  <Lines>28</Lines>
  <Paragraphs>8</Paragraphs>
  <ScaleCrop>false</ScaleCrop>
  <HeadingPairs>
    <vt:vector size="2" baseType="variant">
      <vt:variant>
        <vt:lpstr>Title</vt:lpstr>
      </vt:variant>
      <vt:variant>
        <vt:i4>1</vt:i4>
      </vt:variant>
    </vt:vector>
  </HeadingPairs>
  <TitlesOfParts>
    <vt:vector size="1" baseType="lpstr">
      <vt:lpstr>Isturisa CE</vt:lpstr>
    </vt:vector>
  </TitlesOfParts>
  <Company>DSS</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Isturisa CE</dc:title>
  <dc:subject/>
  <dc:creator>DMS</dc:creator>
  <cp:keywords/>
  <cp:lastModifiedBy>Heriford, Katherine</cp:lastModifiedBy>
  <cp:revision>58</cp:revision>
  <cp:lastPrinted>2018-10-31T18:17:00Z</cp:lastPrinted>
  <dcterms:created xsi:type="dcterms:W3CDTF">2025-11-19T15:39:00Z</dcterms:created>
  <dcterms:modified xsi:type="dcterms:W3CDTF">2026-04-06T14:29:00Z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