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6FE7BD6" w:rsidR="004C5767" w:rsidRPr="008859E1" w:rsidRDefault="004C5767" w:rsidP="00D27533">
      <w:pPr>
        <w:pStyle w:val="tbody"/>
        <w:rPr>
          <w:b w:val="0"/>
          <w:bCs/>
        </w:rPr>
      </w:pPr>
      <w:r w:rsidRPr="00C02553">
        <w:t>Drug/Drug Class:</w:t>
      </w:r>
      <w:r w:rsidR="003B4820" w:rsidRPr="00573856">
        <w:rPr>
          <w:b w:val="0"/>
          <w:bCs/>
        </w:rPr>
        <w:t xml:space="preserve"> </w:t>
      </w:r>
      <w:r w:rsidR="00816190" w:rsidRPr="00816190">
        <w:rPr>
          <w:b w:val="0"/>
          <w:bCs/>
        </w:rPr>
        <w:t>Hepatitis C Agents PDL Edit</w:t>
      </w:r>
    </w:p>
    <w:p w14:paraId="7AD7FFCE" w14:textId="7616B99B" w:rsidR="004C5767" w:rsidRPr="00C02553" w:rsidRDefault="004C5767" w:rsidP="00D27533">
      <w:pPr>
        <w:pStyle w:val="tbody"/>
      </w:pPr>
      <w:r w:rsidRPr="00C02553">
        <w:t>First Implementation Date:</w:t>
      </w:r>
      <w:r w:rsidRPr="00573856">
        <w:rPr>
          <w:b w:val="0"/>
          <w:bCs/>
        </w:rPr>
        <w:t xml:space="preserve"> </w:t>
      </w:r>
      <w:r w:rsidR="00F67FCB" w:rsidRPr="00F67FCB">
        <w:rPr>
          <w:b w:val="0"/>
          <w:bCs/>
        </w:rPr>
        <w:t>October 2, 2014</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0DB731B"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F38DB47" w14:textId="77777777" w:rsidR="003864E6" w:rsidRDefault="003864E6" w:rsidP="003864E6">
      <w:r>
        <w:t>Hepatitis C (HCV) infection has recently been referred to as a “Silent Epidemic” because it usually progresses slowly over many years. HCV is the most common cause of chronic liver disease in the United States. Many people who are infected are not aware of any noticeable symptoms for as long as 10 to 20 years after they are infected.  Often by the time symptoms appear, the virus has already begun to damage the liver. Approximately 5-30% of chronically infected individuals develop cirrhosis 20-30 years after exposure. HCV is a blood-borne virus spread through the blood or blood products.  Common routes of infections include blood transfusions, needle stick accidents, recreational drug use, tattooing, body piercing, and unprotected sexual activity. The goals of hepatitis C therapy are to clear the virus from the blood and slow the progression of the disease, preventing further liver damage. Currently no vaccine is available to prevent people from getting this disease. There has been a steady and significant increase in new HCV infections over the previous 10 years, which has been attributed to an increase in needle sharing due to the opioid epidemic. However, the CDC reported in 2022 that there were 67,400 estimated acute Hepatitis C infections. This corresponded to the first decline in cases of hepatitis C infections in over a decade.</w:t>
      </w:r>
    </w:p>
    <w:p w14:paraId="0341164D" w14:textId="77777777" w:rsidR="003864E6" w:rsidRDefault="003864E6" w:rsidP="003864E6"/>
    <w:p w14:paraId="730143D6" w14:textId="77777777" w:rsidR="003864E6" w:rsidRDefault="003864E6" w:rsidP="003864E6">
      <w:r>
        <w:t xml:space="preserve">In July 2021, MO HealthNet partnered with AbbVie Inc. for Project </w:t>
      </w:r>
      <w:proofErr w:type="spellStart"/>
      <w:r>
        <w:t>HepCure</w:t>
      </w:r>
      <w:proofErr w:type="spellEnd"/>
      <w:r>
        <w:t xml:space="preserve">, an initiative to jump-start the elimination of HCV in Missouri. This partnership has allowed MO HealthNet to remove the prior authorization requirement for </w:t>
      </w:r>
      <w:proofErr w:type="spellStart"/>
      <w:r>
        <w:t>Mavyret</w:t>
      </w:r>
      <w:proofErr w:type="spellEnd"/>
      <w:r>
        <w:t xml:space="preserve"> and ensure access for all MO HealthNet participants infected with HCV. This partnership was renewed in 2024 for three additional years. </w:t>
      </w:r>
    </w:p>
    <w:p w14:paraId="12946DF8" w14:textId="77777777" w:rsidR="003864E6" w:rsidRDefault="003864E6" w:rsidP="003864E6"/>
    <w:p w14:paraId="7ACECC9F" w14:textId="1689719F" w:rsidR="00B56DCC" w:rsidRDefault="003864E6" w:rsidP="003864E6">
      <w:r>
        <w:t xml:space="preserve">In June 2025, the FDA expanded the approved indications for </w:t>
      </w:r>
      <w:proofErr w:type="spellStart"/>
      <w:r>
        <w:t>Mavyret</w:t>
      </w:r>
      <w:proofErr w:type="spellEnd"/>
      <w:r>
        <w:t xml:space="preserve"> to include acute hepatitis C infection, in addition to its existing indication for chronic hepatitis C. </w:t>
      </w:r>
      <w:proofErr w:type="spellStart"/>
      <w:r>
        <w:t>Mavyret</w:t>
      </w:r>
      <w:proofErr w:type="spellEnd"/>
      <w:r>
        <w:t xml:space="preserve"> becomes the first direct-acting antiviral agent approved for treatment of acute hepatitis C</w:t>
      </w:r>
      <w:r w:rsidR="00792D85">
        <w:t>.</w:t>
      </w:r>
    </w:p>
    <w:p w14:paraId="0BE2CC09" w14:textId="77777777" w:rsidR="003864E6" w:rsidRDefault="003864E6" w:rsidP="003864E6"/>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BE776AB" w14:textId="77777777" w:rsidR="00767B40" w:rsidRDefault="00767B40" w:rsidP="00767B40">
      <w:pPr>
        <w:numPr>
          <w:ilvl w:val="0"/>
          <w:numId w:val="15"/>
        </w:numPr>
        <w:jc w:val="both"/>
        <w:rPr>
          <w:rFonts w:cs="Arial"/>
          <w:spacing w:val="-3"/>
          <w:szCs w:val="20"/>
        </w:rPr>
      </w:pPr>
      <w:proofErr w:type="spellStart"/>
      <w:r w:rsidRPr="00327B18">
        <w:rPr>
          <w:rFonts w:cs="Arial"/>
          <w:spacing w:val="-3"/>
          <w:szCs w:val="20"/>
        </w:rPr>
        <w:t>Mavyre</w:t>
      </w:r>
      <w:r>
        <w:rPr>
          <w:rFonts w:cs="Arial"/>
          <w:spacing w:val="-3"/>
          <w:szCs w:val="20"/>
        </w:rPr>
        <w:t>t</w:t>
      </w:r>
      <w:proofErr w:type="spellEnd"/>
      <w:r>
        <w:rPr>
          <w:rFonts w:cs="Arial"/>
          <w:spacing w:val="-3"/>
          <w:szCs w:val="20"/>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45D0469C" w14:textId="77777777" w:rsidR="003D4F23" w:rsidRPr="00171EF7" w:rsidRDefault="003D4F23" w:rsidP="003D4F23">
      <w:pPr>
        <w:numPr>
          <w:ilvl w:val="0"/>
          <w:numId w:val="16"/>
        </w:numPr>
        <w:jc w:val="both"/>
        <w:rPr>
          <w:rFonts w:cs="Arial"/>
          <w:bCs/>
          <w:spacing w:val="-3"/>
          <w:szCs w:val="20"/>
        </w:rPr>
      </w:pPr>
      <w:r w:rsidRPr="00171EF7">
        <w:rPr>
          <w:rFonts w:cs="Arial"/>
          <w:bCs/>
          <w:spacing w:val="-3"/>
          <w:szCs w:val="20"/>
        </w:rPr>
        <w:t>Epclusa</w:t>
      </w:r>
      <w:r w:rsidRPr="00171EF7">
        <w:rPr>
          <w:rFonts w:cs="Arial"/>
          <w:bCs/>
          <w:spacing w:val="-3"/>
          <w:vertAlign w:val="superscript"/>
        </w:rPr>
        <w:t>®</w:t>
      </w:r>
    </w:p>
    <w:p w14:paraId="6231A7AF" w14:textId="77777777" w:rsidR="003D4F23" w:rsidRPr="00171EF7" w:rsidRDefault="003D4F23" w:rsidP="003D4F23">
      <w:pPr>
        <w:numPr>
          <w:ilvl w:val="0"/>
          <w:numId w:val="16"/>
        </w:numPr>
        <w:rPr>
          <w:rFonts w:cs="Arial"/>
          <w:bCs/>
          <w:spacing w:val="-3"/>
        </w:rPr>
      </w:pPr>
      <w:r w:rsidRPr="00171EF7">
        <w:rPr>
          <w:rFonts w:cs="Arial"/>
          <w:bCs/>
          <w:spacing w:val="-3"/>
        </w:rPr>
        <w:t>Harvoni</w:t>
      </w:r>
      <w:r w:rsidRPr="00171EF7">
        <w:rPr>
          <w:rFonts w:cs="Arial"/>
          <w:bCs/>
          <w:spacing w:val="-3"/>
          <w:vertAlign w:val="superscript"/>
        </w:rPr>
        <w:t>®</w:t>
      </w:r>
    </w:p>
    <w:p w14:paraId="6D696800" w14:textId="6FDDC0A4" w:rsidR="00E23EC0" w:rsidRPr="001F520C" w:rsidRDefault="003D4F23" w:rsidP="00314430">
      <w:pPr>
        <w:numPr>
          <w:ilvl w:val="0"/>
          <w:numId w:val="16"/>
        </w:numPr>
        <w:rPr>
          <w:rFonts w:cs="Arial"/>
          <w:bCs/>
          <w:spacing w:val="-3"/>
        </w:rPr>
      </w:pPr>
      <w:r w:rsidRPr="00171EF7">
        <w:rPr>
          <w:rFonts w:cs="Arial"/>
          <w:bCs/>
          <w:szCs w:val="20"/>
        </w:rPr>
        <w:t>Ledipasvir-Sofosbuvir</w:t>
      </w:r>
    </w:p>
    <w:p w14:paraId="5E8BD677" w14:textId="77777777" w:rsidR="001F520C" w:rsidRPr="00171EF7" w:rsidRDefault="001F520C" w:rsidP="001F520C">
      <w:pPr>
        <w:numPr>
          <w:ilvl w:val="0"/>
          <w:numId w:val="16"/>
        </w:numPr>
        <w:rPr>
          <w:rFonts w:cs="Arial"/>
          <w:bCs/>
          <w:spacing w:val="-3"/>
          <w:szCs w:val="20"/>
        </w:rPr>
      </w:pPr>
      <w:r w:rsidRPr="00171EF7">
        <w:rPr>
          <w:rFonts w:cs="Arial"/>
          <w:bCs/>
          <w:szCs w:val="20"/>
        </w:rPr>
        <w:t>Sofosbuvir-</w:t>
      </w:r>
      <w:proofErr w:type="spellStart"/>
      <w:r w:rsidRPr="00171EF7">
        <w:rPr>
          <w:rFonts w:cs="Arial"/>
          <w:bCs/>
          <w:szCs w:val="20"/>
        </w:rPr>
        <w:t>Velpatasvir</w:t>
      </w:r>
      <w:proofErr w:type="spellEnd"/>
    </w:p>
    <w:p w14:paraId="35AF7B4F" w14:textId="77777777" w:rsidR="001F520C" w:rsidRPr="00171EF7" w:rsidRDefault="001F520C" w:rsidP="001F520C">
      <w:pPr>
        <w:numPr>
          <w:ilvl w:val="0"/>
          <w:numId w:val="16"/>
        </w:numPr>
        <w:rPr>
          <w:rFonts w:cs="Arial"/>
          <w:bCs/>
          <w:spacing w:val="-3"/>
        </w:rPr>
      </w:pPr>
      <w:r w:rsidRPr="00171EF7">
        <w:rPr>
          <w:rFonts w:cs="Arial"/>
          <w:bCs/>
          <w:spacing w:val="-3"/>
        </w:rPr>
        <w:t>Sovaldi</w:t>
      </w:r>
      <w:r w:rsidRPr="00171EF7">
        <w:rPr>
          <w:rFonts w:cs="Arial"/>
          <w:bCs/>
          <w:spacing w:val="-3"/>
          <w:vertAlign w:val="superscript"/>
        </w:rPr>
        <w:t>®</w:t>
      </w:r>
    </w:p>
    <w:p w14:paraId="281A44A4" w14:textId="77777777" w:rsidR="001F520C" w:rsidRPr="00171EF7" w:rsidRDefault="001F520C" w:rsidP="001F520C">
      <w:pPr>
        <w:numPr>
          <w:ilvl w:val="0"/>
          <w:numId w:val="16"/>
        </w:numPr>
        <w:rPr>
          <w:rFonts w:cs="Arial"/>
          <w:bCs/>
          <w:spacing w:val="-3"/>
          <w:szCs w:val="20"/>
        </w:rPr>
      </w:pPr>
      <w:proofErr w:type="spellStart"/>
      <w:r w:rsidRPr="00171EF7">
        <w:rPr>
          <w:rFonts w:cs="Arial"/>
          <w:bCs/>
          <w:spacing w:val="-3"/>
          <w:szCs w:val="20"/>
        </w:rPr>
        <w:lastRenderedPageBreak/>
        <w:t>Vosevi</w:t>
      </w:r>
      <w:proofErr w:type="spellEnd"/>
      <w:r w:rsidRPr="00171EF7">
        <w:rPr>
          <w:rFonts w:cs="Arial"/>
          <w:bCs/>
          <w:spacing w:val="-3"/>
          <w:vertAlign w:val="superscript"/>
        </w:rPr>
        <w:t>®</w:t>
      </w:r>
    </w:p>
    <w:p w14:paraId="333A4C3F" w14:textId="12C8113C" w:rsidR="001F520C" w:rsidRPr="003D4F23" w:rsidRDefault="001F520C" w:rsidP="001F520C">
      <w:pPr>
        <w:numPr>
          <w:ilvl w:val="0"/>
          <w:numId w:val="16"/>
        </w:numPr>
        <w:rPr>
          <w:rFonts w:cs="Arial"/>
          <w:bCs/>
          <w:spacing w:val="-3"/>
        </w:rPr>
      </w:pPr>
      <w:proofErr w:type="spellStart"/>
      <w:r w:rsidRPr="001F09D9">
        <w:rPr>
          <w:rFonts w:cs="Arial"/>
          <w:bCs/>
          <w:spacing w:val="-3"/>
        </w:rPr>
        <w:t>Zepatier</w:t>
      </w:r>
      <w:proofErr w:type="spellEnd"/>
      <w:r>
        <w:rPr>
          <w:rFonts w:cs="Arial"/>
          <w:bCs/>
          <w:spacing w:val="-3"/>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90A8F19" w:rsidR="0097028A" w:rsidRPr="0079438F" w:rsidRDefault="0097028A" w:rsidP="00696E3A">
      <w:pPr>
        <w:rPr>
          <w:b/>
        </w:rPr>
      </w:pPr>
      <w:r w:rsidRPr="00696E3A">
        <w:rPr>
          <w:b/>
          <w:bCs/>
        </w:rPr>
        <w:t>Drug class for review:</w:t>
      </w:r>
      <w:r w:rsidRPr="00C02553">
        <w:t xml:space="preserve"> </w:t>
      </w:r>
      <w:r w:rsidR="00882272" w:rsidRPr="00EA5B45">
        <w:rPr>
          <w:rFonts w:cs="Arial"/>
          <w:szCs w:val="20"/>
        </w:rPr>
        <w:t>Hepatitis C Agents</w:t>
      </w:r>
    </w:p>
    <w:p w14:paraId="26CFE8A0" w14:textId="1BA710AD"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E26B45" w:rsidRPr="00E26B45">
        <w:rPr>
          <w:rFonts w:cs="Arial"/>
          <w:szCs w:val="20"/>
        </w:rPr>
        <w:t xml:space="preserve"> </w:t>
      </w:r>
      <w:r w:rsidR="00E26B45" w:rsidRPr="00171EF7">
        <w:rPr>
          <w:rFonts w:cs="Arial"/>
          <w:szCs w:val="20"/>
        </w:rPr>
        <w:t>aged 3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BDA1BFA" w14:textId="77777777" w:rsidR="00A62B66" w:rsidRPr="00FC484A" w:rsidRDefault="00A62B66" w:rsidP="00A62B66">
      <w:pPr>
        <w:rPr>
          <w:rFonts w:cs="Arial"/>
          <w:u w:val="single"/>
        </w:rPr>
      </w:pPr>
      <w:proofErr w:type="spellStart"/>
      <w:r w:rsidRPr="00FC484A">
        <w:rPr>
          <w:rFonts w:cs="Arial"/>
          <w:u w:val="single"/>
        </w:rPr>
        <w:t>Mavyret</w:t>
      </w:r>
      <w:proofErr w:type="spellEnd"/>
      <w:r w:rsidRPr="00FC484A">
        <w:rPr>
          <w:rFonts w:cs="Arial"/>
          <w:u w:val="single"/>
        </w:rPr>
        <w:t xml:space="preserve"> tablets</w:t>
      </w:r>
    </w:p>
    <w:p w14:paraId="6970061B" w14:textId="77777777" w:rsidR="00A62B66" w:rsidRDefault="00A62B66" w:rsidP="00A62B66">
      <w:pPr>
        <w:numPr>
          <w:ilvl w:val="0"/>
          <w:numId w:val="18"/>
        </w:numPr>
        <w:rPr>
          <w:rFonts w:cs="Arial"/>
        </w:rPr>
      </w:pPr>
      <w:r w:rsidRPr="00FC484A">
        <w:rPr>
          <w:rFonts w:cs="Arial"/>
        </w:rPr>
        <w:t>No Prior Authorization is required</w:t>
      </w:r>
      <w:r>
        <w:rPr>
          <w:rFonts w:cs="Arial"/>
        </w:rPr>
        <w:t>.</w:t>
      </w:r>
    </w:p>
    <w:p w14:paraId="09A7342C" w14:textId="77777777" w:rsidR="00A62B66" w:rsidRPr="00FC484A" w:rsidRDefault="00A62B66" w:rsidP="00A62B66">
      <w:pPr>
        <w:rPr>
          <w:rFonts w:cs="Arial"/>
        </w:rPr>
      </w:pPr>
    </w:p>
    <w:p w14:paraId="6E8920D9" w14:textId="77777777" w:rsidR="00A62B66" w:rsidRDefault="00A62B66" w:rsidP="00A62B66">
      <w:pPr>
        <w:rPr>
          <w:rFonts w:cs="Arial"/>
        </w:rPr>
      </w:pPr>
      <w:proofErr w:type="spellStart"/>
      <w:r w:rsidRPr="00FC484A">
        <w:rPr>
          <w:rFonts w:cs="Arial"/>
          <w:u w:val="single"/>
        </w:rPr>
        <w:t>Mavyret</w:t>
      </w:r>
      <w:proofErr w:type="spellEnd"/>
      <w:r w:rsidRPr="00FC484A">
        <w:rPr>
          <w:rFonts w:cs="Arial"/>
          <w:u w:val="single"/>
        </w:rPr>
        <w:t xml:space="preserve"> pellets</w:t>
      </w:r>
    </w:p>
    <w:p w14:paraId="1DBE0CC3" w14:textId="77777777" w:rsidR="00A62B66" w:rsidRPr="00FC484A" w:rsidRDefault="00A62B66" w:rsidP="00A62B66">
      <w:pPr>
        <w:pStyle w:val="ListParagraph"/>
        <w:numPr>
          <w:ilvl w:val="0"/>
          <w:numId w:val="18"/>
        </w:numPr>
        <w:rPr>
          <w:rFonts w:cs="Arial"/>
        </w:rPr>
      </w:pPr>
      <w:r>
        <w:rPr>
          <w:rFonts w:cs="Arial"/>
        </w:rPr>
        <w:t>Must meet one of the following:</w:t>
      </w:r>
    </w:p>
    <w:p w14:paraId="1EFC45EC" w14:textId="77777777" w:rsidR="00A62B66" w:rsidRPr="00FC484A" w:rsidRDefault="00A62B66" w:rsidP="00A62B66">
      <w:pPr>
        <w:numPr>
          <w:ilvl w:val="1"/>
          <w:numId w:val="18"/>
        </w:numPr>
        <w:rPr>
          <w:rFonts w:cs="Arial"/>
        </w:rPr>
      </w:pPr>
      <w:r w:rsidRPr="00FC484A">
        <w:rPr>
          <w:rFonts w:cs="Arial"/>
        </w:rPr>
        <w:t>Participant aged 3 to 11 years</w:t>
      </w:r>
      <w:r>
        <w:rPr>
          <w:rFonts w:cs="Arial"/>
        </w:rPr>
        <w:t>;</w:t>
      </w:r>
      <w:r w:rsidRPr="00FC484A">
        <w:rPr>
          <w:rFonts w:cs="Arial"/>
        </w:rPr>
        <w:t xml:space="preserve"> </w:t>
      </w:r>
      <w:r w:rsidRPr="00FC484A">
        <w:rPr>
          <w:rFonts w:cs="Arial"/>
          <w:b/>
        </w:rPr>
        <w:t>OR</w:t>
      </w:r>
    </w:p>
    <w:p w14:paraId="4F13213C" w14:textId="77777777" w:rsidR="00A62B66" w:rsidRPr="00FC484A" w:rsidRDefault="00A62B66" w:rsidP="00A62B66">
      <w:pPr>
        <w:numPr>
          <w:ilvl w:val="1"/>
          <w:numId w:val="18"/>
        </w:numPr>
        <w:rPr>
          <w:rFonts w:cs="Arial"/>
        </w:rPr>
      </w:pPr>
      <w:r w:rsidRPr="00FC484A">
        <w:rPr>
          <w:rFonts w:cs="Arial"/>
        </w:rPr>
        <w:t>Documented inability to swallow tablets</w:t>
      </w:r>
      <w:r>
        <w:rPr>
          <w:rFonts w:cs="Arial"/>
        </w:rPr>
        <w:t>.</w:t>
      </w:r>
    </w:p>
    <w:p w14:paraId="2BEEE4F9" w14:textId="77777777" w:rsidR="00A62B66" w:rsidRPr="00FC484A" w:rsidRDefault="00A62B66" w:rsidP="00A62B66">
      <w:pPr>
        <w:ind w:left="360"/>
        <w:rPr>
          <w:rFonts w:cs="Arial"/>
          <w:b/>
          <w:bCs/>
          <w:color w:val="4F81BD" w:themeColor="accent1"/>
        </w:rPr>
      </w:pPr>
    </w:p>
    <w:p w14:paraId="06D2E6B3" w14:textId="77777777" w:rsidR="00A62B66" w:rsidRDefault="00A62B66" w:rsidP="00A62B66">
      <w:pPr>
        <w:rPr>
          <w:rFonts w:cs="Arial"/>
          <w:szCs w:val="20"/>
          <w:u w:val="single"/>
        </w:rPr>
      </w:pPr>
      <w:r w:rsidRPr="00FC484A">
        <w:rPr>
          <w:rFonts w:cs="Arial"/>
          <w:szCs w:val="20"/>
          <w:u w:val="single"/>
        </w:rPr>
        <w:t>All other HCV DAA treatments require Prior Authorization and Clinical Consultant Review</w:t>
      </w:r>
    </w:p>
    <w:p w14:paraId="63E90404" w14:textId="77777777" w:rsidR="00A62B66" w:rsidRPr="00917EF5" w:rsidRDefault="00A62B66" w:rsidP="00923B99">
      <w:pPr>
        <w:ind w:left="360" w:hanging="360"/>
        <w:rPr>
          <w:rFonts w:cs="Arial"/>
          <w:szCs w:val="20"/>
        </w:rPr>
      </w:pPr>
      <w:r w:rsidRPr="00917EF5">
        <w:rPr>
          <w:rFonts w:cs="Arial"/>
          <w:szCs w:val="20"/>
        </w:rPr>
        <w:t>Initial Therapy:</w:t>
      </w:r>
    </w:p>
    <w:p w14:paraId="7D4C06FC" w14:textId="77777777" w:rsidR="00A62B66" w:rsidRDefault="00A62B66" w:rsidP="00A62B66">
      <w:pPr>
        <w:pStyle w:val="ListParagraph"/>
        <w:numPr>
          <w:ilvl w:val="1"/>
          <w:numId w:val="18"/>
        </w:numPr>
        <w:rPr>
          <w:rFonts w:cs="Arial"/>
          <w:szCs w:val="20"/>
        </w:rPr>
      </w:pPr>
      <w:r>
        <w:rPr>
          <w:rFonts w:cs="Arial"/>
          <w:szCs w:val="20"/>
        </w:rPr>
        <w:t xml:space="preserve">Must meet </w:t>
      </w:r>
      <w:proofErr w:type="gramStart"/>
      <w:r>
        <w:rPr>
          <w:rFonts w:cs="Arial"/>
          <w:szCs w:val="20"/>
        </w:rPr>
        <w:t>all of</w:t>
      </w:r>
      <w:proofErr w:type="gramEnd"/>
      <w:r>
        <w:rPr>
          <w:rFonts w:cs="Arial"/>
          <w:szCs w:val="20"/>
        </w:rPr>
        <w:t xml:space="preserve"> the following:</w:t>
      </w:r>
    </w:p>
    <w:p w14:paraId="68B4E336" w14:textId="77777777" w:rsidR="00A62B66" w:rsidRPr="00FC484A" w:rsidRDefault="00A62B66" w:rsidP="00A62B66">
      <w:pPr>
        <w:pStyle w:val="ListParagraph"/>
        <w:numPr>
          <w:ilvl w:val="2"/>
          <w:numId w:val="18"/>
        </w:numPr>
        <w:ind w:left="1080"/>
        <w:rPr>
          <w:rFonts w:cs="Arial"/>
          <w:szCs w:val="20"/>
        </w:rPr>
      </w:pPr>
      <w:r w:rsidRPr="00FC484A">
        <w:rPr>
          <w:rFonts w:cs="Arial"/>
          <w:szCs w:val="20"/>
        </w:rPr>
        <w:t xml:space="preserve">Documentation for why </w:t>
      </w:r>
      <w:proofErr w:type="spellStart"/>
      <w:r w:rsidRPr="00FC484A">
        <w:rPr>
          <w:rFonts w:cs="Arial"/>
          <w:szCs w:val="20"/>
        </w:rPr>
        <w:t>Mavyret</w:t>
      </w:r>
      <w:proofErr w:type="spellEnd"/>
      <w:r w:rsidRPr="00FC484A">
        <w:rPr>
          <w:rFonts w:cs="Arial"/>
          <w:szCs w:val="20"/>
        </w:rPr>
        <w:t xml:space="preserve"> cannot be utilized for the </w:t>
      </w:r>
      <w:proofErr w:type="gramStart"/>
      <w:r w:rsidRPr="00FC484A">
        <w:rPr>
          <w:rFonts w:cs="Arial"/>
          <w:szCs w:val="20"/>
        </w:rPr>
        <w:t>participant</w:t>
      </w:r>
      <w:r>
        <w:rPr>
          <w:rFonts w:cs="Arial"/>
          <w:szCs w:val="20"/>
        </w:rPr>
        <w:t>;</w:t>
      </w:r>
      <w:proofErr w:type="gramEnd"/>
    </w:p>
    <w:p w14:paraId="7E7D7D95" w14:textId="77777777" w:rsidR="00A62B66" w:rsidRPr="00FC484A" w:rsidRDefault="00A62B66" w:rsidP="00A62B66">
      <w:pPr>
        <w:pStyle w:val="ListParagraph"/>
        <w:numPr>
          <w:ilvl w:val="2"/>
          <w:numId w:val="18"/>
        </w:numPr>
        <w:ind w:left="1080"/>
        <w:rPr>
          <w:rFonts w:cs="Arial"/>
          <w:szCs w:val="20"/>
        </w:rPr>
      </w:pPr>
      <w:r w:rsidRPr="00FC484A">
        <w:rPr>
          <w:rFonts w:cs="Arial"/>
          <w:szCs w:val="20"/>
        </w:rPr>
        <w:t>Documented diagnosis of hepati</w:t>
      </w:r>
      <w:r>
        <w:rPr>
          <w:rFonts w:cs="Arial"/>
          <w:szCs w:val="20"/>
        </w:rPr>
        <w:t xml:space="preserve">tis C (HCV) in the past </w:t>
      </w:r>
      <w:proofErr w:type="gramStart"/>
      <w:r>
        <w:rPr>
          <w:rFonts w:cs="Arial"/>
          <w:szCs w:val="20"/>
        </w:rPr>
        <w:t>year;</w:t>
      </w:r>
      <w:proofErr w:type="gramEnd"/>
    </w:p>
    <w:p w14:paraId="2F47BDB5" w14:textId="77777777" w:rsidR="00A62B66" w:rsidRDefault="00A62B66" w:rsidP="00A62B66">
      <w:pPr>
        <w:pStyle w:val="ListParagraph"/>
        <w:numPr>
          <w:ilvl w:val="2"/>
          <w:numId w:val="18"/>
        </w:numPr>
        <w:ind w:left="1080"/>
        <w:rPr>
          <w:rFonts w:cs="Arial"/>
          <w:szCs w:val="20"/>
        </w:rPr>
      </w:pPr>
      <w:r>
        <w:rPr>
          <w:rFonts w:cs="Arial"/>
          <w:szCs w:val="20"/>
        </w:rPr>
        <w:t>Documented b</w:t>
      </w:r>
      <w:r w:rsidRPr="00FC484A">
        <w:rPr>
          <w:rFonts w:cs="Arial"/>
          <w:szCs w:val="20"/>
        </w:rPr>
        <w:t>aseline viral load</w:t>
      </w:r>
      <w:r>
        <w:rPr>
          <w:rFonts w:cs="Arial"/>
          <w:szCs w:val="20"/>
        </w:rPr>
        <w:t xml:space="preserve">; </w:t>
      </w:r>
      <w:r w:rsidRPr="00FC484A">
        <w:rPr>
          <w:rFonts w:cs="Arial"/>
          <w:b/>
          <w:szCs w:val="20"/>
        </w:rPr>
        <w:t>AND</w:t>
      </w:r>
    </w:p>
    <w:p w14:paraId="6E4596E7" w14:textId="77777777" w:rsidR="00A62B66" w:rsidRPr="00FC484A" w:rsidRDefault="00A62B66" w:rsidP="00A62B66">
      <w:pPr>
        <w:pStyle w:val="ListParagraph"/>
        <w:numPr>
          <w:ilvl w:val="2"/>
          <w:numId w:val="18"/>
        </w:numPr>
        <w:ind w:left="1080"/>
        <w:rPr>
          <w:rFonts w:cs="Arial"/>
          <w:szCs w:val="20"/>
        </w:rPr>
      </w:pPr>
      <w:r>
        <w:rPr>
          <w:rFonts w:cs="Arial"/>
          <w:szCs w:val="20"/>
        </w:rPr>
        <w:t xml:space="preserve">Documented </w:t>
      </w:r>
      <w:r w:rsidRPr="00FC484A">
        <w:rPr>
          <w:rFonts w:cs="Arial"/>
          <w:szCs w:val="20"/>
        </w:rPr>
        <w:t xml:space="preserve">fibrosis score </w:t>
      </w:r>
      <w:r>
        <w:rPr>
          <w:rFonts w:cs="Arial"/>
          <w:szCs w:val="20"/>
        </w:rPr>
        <w:t>(</w:t>
      </w:r>
      <w:r w:rsidRPr="00FC484A">
        <w:rPr>
          <w:rFonts w:cs="Arial"/>
          <w:szCs w:val="20"/>
        </w:rPr>
        <w:t xml:space="preserve">fibrosis score of F4 also requires a Child-Pugh </w:t>
      </w:r>
      <w:r>
        <w:rPr>
          <w:rFonts w:cs="Arial"/>
          <w:szCs w:val="20"/>
        </w:rPr>
        <w:t>score to be submitted)</w:t>
      </w:r>
    </w:p>
    <w:p w14:paraId="7EBB0710" w14:textId="77777777" w:rsidR="00A62B66" w:rsidRDefault="00A62B66" w:rsidP="00A62B66">
      <w:pPr>
        <w:pStyle w:val="ListParagraph"/>
        <w:numPr>
          <w:ilvl w:val="1"/>
          <w:numId w:val="18"/>
        </w:numPr>
        <w:rPr>
          <w:rFonts w:cs="Arial"/>
          <w:szCs w:val="20"/>
        </w:rPr>
      </w:pPr>
      <w:r>
        <w:rPr>
          <w:rFonts w:cs="Arial"/>
          <w:szCs w:val="20"/>
        </w:rPr>
        <w:t xml:space="preserve">Additional approval criteria for </w:t>
      </w:r>
      <w:proofErr w:type="spellStart"/>
      <w:r>
        <w:rPr>
          <w:rFonts w:cs="Arial"/>
          <w:szCs w:val="20"/>
        </w:rPr>
        <w:t>Vosevi</w:t>
      </w:r>
      <w:proofErr w:type="spellEnd"/>
      <w:r>
        <w:rPr>
          <w:rFonts w:cs="Arial"/>
          <w:szCs w:val="20"/>
        </w:rPr>
        <w:t xml:space="preserve"> – must meet </w:t>
      </w:r>
      <w:proofErr w:type="gramStart"/>
      <w:r>
        <w:rPr>
          <w:rFonts w:cs="Arial"/>
          <w:szCs w:val="20"/>
        </w:rPr>
        <w:t>all of</w:t>
      </w:r>
      <w:proofErr w:type="gramEnd"/>
      <w:r>
        <w:rPr>
          <w:rFonts w:cs="Arial"/>
          <w:szCs w:val="20"/>
        </w:rPr>
        <w:t xml:space="preserve"> the following:</w:t>
      </w:r>
    </w:p>
    <w:p w14:paraId="680AE76C" w14:textId="77777777" w:rsidR="00A62B66" w:rsidRPr="001B64E2" w:rsidRDefault="00A62B66" w:rsidP="00A62B66">
      <w:pPr>
        <w:pStyle w:val="ListParagraph"/>
        <w:numPr>
          <w:ilvl w:val="2"/>
          <w:numId w:val="18"/>
        </w:numPr>
        <w:ind w:left="1080"/>
        <w:rPr>
          <w:rFonts w:cs="Arial"/>
          <w:szCs w:val="20"/>
        </w:rPr>
      </w:pPr>
      <w:r w:rsidRPr="001B64E2">
        <w:rPr>
          <w:rFonts w:cs="Arial"/>
          <w:szCs w:val="20"/>
        </w:rPr>
        <w:t>Participant aged 18 years or older</w:t>
      </w:r>
      <w:r>
        <w:rPr>
          <w:rFonts w:cs="Arial"/>
          <w:szCs w:val="20"/>
        </w:rPr>
        <w:t>;</w:t>
      </w:r>
      <w:r w:rsidRPr="001B64E2">
        <w:rPr>
          <w:rFonts w:cs="Arial"/>
          <w:szCs w:val="20"/>
        </w:rPr>
        <w:t xml:space="preserve"> </w:t>
      </w:r>
      <w:r w:rsidRPr="001B64E2">
        <w:rPr>
          <w:rFonts w:cs="Arial"/>
          <w:b/>
          <w:szCs w:val="20"/>
        </w:rPr>
        <w:t>AND</w:t>
      </w:r>
    </w:p>
    <w:p w14:paraId="055D08C2" w14:textId="77777777" w:rsidR="00A62B66" w:rsidRPr="001B64E2" w:rsidRDefault="00A62B66" w:rsidP="00A62B66">
      <w:pPr>
        <w:pStyle w:val="ListParagraph"/>
        <w:numPr>
          <w:ilvl w:val="2"/>
          <w:numId w:val="18"/>
        </w:numPr>
        <w:ind w:left="1080"/>
        <w:rPr>
          <w:rFonts w:cs="Arial"/>
          <w:szCs w:val="20"/>
        </w:rPr>
      </w:pPr>
      <w:r w:rsidRPr="001B64E2">
        <w:rPr>
          <w:rFonts w:cs="Arial"/>
          <w:szCs w:val="20"/>
        </w:rPr>
        <w:t>Prescribing provider confirmed therapy is for retreatment</w:t>
      </w:r>
      <w:r>
        <w:rPr>
          <w:rFonts w:cs="Arial"/>
          <w:szCs w:val="20"/>
        </w:rPr>
        <w:t xml:space="preserve"> (</w:t>
      </w:r>
      <w:r w:rsidRPr="001B64E2">
        <w:rPr>
          <w:rFonts w:cs="Arial"/>
          <w:szCs w:val="20"/>
        </w:rPr>
        <w:t>note</w:t>
      </w:r>
      <w:r>
        <w:rPr>
          <w:rFonts w:cs="Arial"/>
          <w:szCs w:val="20"/>
        </w:rPr>
        <w:t>:</w:t>
      </w:r>
      <w:r w:rsidRPr="001B64E2">
        <w:rPr>
          <w:rFonts w:cs="Arial"/>
          <w:szCs w:val="20"/>
        </w:rPr>
        <w:t xml:space="preserve"> retreatment is at the</w:t>
      </w:r>
      <w:r>
        <w:rPr>
          <w:rFonts w:cs="Arial"/>
          <w:szCs w:val="20"/>
        </w:rPr>
        <w:t xml:space="preserve"> discretion of MO HealthNet)</w:t>
      </w:r>
    </w:p>
    <w:p w14:paraId="5D25AAE1" w14:textId="77777777" w:rsidR="00A62B66" w:rsidRDefault="00A62B66" w:rsidP="00A62B66">
      <w:pPr>
        <w:pStyle w:val="ListParagraph"/>
        <w:numPr>
          <w:ilvl w:val="1"/>
          <w:numId w:val="18"/>
        </w:numPr>
        <w:rPr>
          <w:rFonts w:cs="Arial"/>
          <w:szCs w:val="20"/>
        </w:rPr>
      </w:pPr>
      <w:r>
        <w:rPr>
          <w:rFonts w:cs="Arial"/>
          <w:szCs w:val="20"/>
        </w:rPr>
        <w:t xml:space="preserve">Additional approval criteria for </w:t>
      </w:r>
      <w:proofErr w:type="spellStart"/>
      <w:r>
        <w:rPr>
          <w:rFonts w:cs="Arial"/>
          <w:szCs w:val="20"/>
        </w:rPr>
        <w:t>Zepatier</w:t>
      </w:r>
      <w:proofErr w:type="spellEnd"/>
      <w:r>
        <w:rPr>
          <w:rFonts w:cs="Arial"/>
          <w:szCs w:val="20"/>
        </w:rPr>
        <w:t xml:space="preserve"> – must meet </w:t>
      </w:r>
      <w:proofErr w:type="gramStart"/>
      <w:r>
        <w:rPr>
          <w:rFonts w:cs="Arial"/>
          <w:szCs w:val="20"/>
        </w:rPr>
        <w:t>all of</w:t>
      </w:r>
      <w:proofErr w:type="gramEnd"/>
      <w:r>
        <w:rPr>
          <w:rFonts w:cs="Arial"/>
          <w:szCs w:val="20"/>
        </w:rPr>
        <w:t xml:space="preserve"> the following:</w:t>
      </w:r>
    </w:p>
    <w:p w14:paraId="0919609E" w14:textId="77777777" w:rsidR="00A62B66" w:rsidRPr="001B64E2" w:rsidRDefault="00A62B66" w:rsidP="00A62B66">
      <w:pPr>
        <w:pStyle w:val="ListParagraph"/>
        <w:numPr>
          <w:ilvl w:val="2"/>
          <w:numId w:val="18"/>
        </w:numPr>
        <w:ind w:left="1080"/>
        <w:rPr>
          <w:rFonts w:cs="Arial"/>
          <w:szCs w:val="20"/>
        </w:rPr>
      </w:pPr>
      <w:r w:rsidRPr="001B64E2">
        <w:rPr>
          <w:rFonts w:cs="Arial"/>
          <w:szCs w:val="20"/>
        </w:rPr>
        <w:t>Participant meets age or weight requirements:</w:t>
      </w:r>
    </w:p>
    <w:p w14:paraId="2D9C4FF0" w14:textId="77777777" w:rsidR="00A62B66" w:rsidRPr="006002C7" w:rsidRDefault="00A62B66" w:rsidP="00A62B66">
      <w:pPr>
        <w:pStyle w:val="ListParagraph"/>
        <w:numPr>
          <w:ilvl w:val="3"/>
          <w:numId w:val="18"/>
        </w:numPr>
        <w:ind w:left="1440"/>
        <w:rPr>
          <w:rFonts w:cs="Arial"/>
          <w:bCs/>
          <w:szCs w:val="20"/>
        </w:rPr>
      </w:pPr>
      <w:r w:rsidRPr="006002C7">
        <w:rPr>
          <w:rFonts w:cs="Arial"/>
          <w:bCs/>
          <w:szCs w:val="20"/>
        </w:rPr>
        <w:t xml:space="preserve">Participant aged 12 years or older; </w:t>
      </w:r>
      <w:r w:rsidRPr="006002C7">
        <w:rPr>
          <w:rFonts w:cs="Arial"/>
          <w:b/>
          <w:szCs w:val="20"/>
        </w:rPr>
        <w:t>OR</w:t>
      </w:r>
      <w:r w:rsidRPr="006002C7">
        <w:rPr>
          <w:rFonts w:cs="Arial"/>
          <w:bCs/>
          <w:szCs w:val="20"/>
        </w:rPr>
        <w:t xml:space="preserve"> </w:t>
      </w:r>
    </w:p>
    <w:p w14:paraId="60B3690D" w14:textId="77777777" w:rsidR="00A62B66" w:rsidRPr="006002C7" w:rsidRDefault="00A62B66" w:rsidP="00A62B66">
      <w:pPr>
        <w:pStyle w:val="ListParagraph"/>
        <w:numPr>
          <w:ilvl w:val="3"/>
          <w:numId w:val="18"/>
        </w:numPr>
        <w:ind w:left="1440"/>
        <w:rPr>
          <w:rFonts w:cs="Arial"/>
          <w:bCs/>
          <w:szCs w:val="20"/>
        </w:rPr>
      </w:pPr>
      <w:r w:rsidRPr="006002C7">
        <w:rPr>
          <w:rFonts w:cs="Arial"/>
          <w:bCs/>
          <w:szCs w:val="20"/>
        </w:rPr>
        <w:t xml:space="preserve">Participant weighs 30 kg or greater; </w:t>
      </w:r>
      <w:r w:rsidRPr="006002C7">
        <w:rPr>
          <w:rFonts w:cs="Arial"/>
          <w:b/>
          <w:szCs w:val="20"/>
        </w:rPr>
        <w:t>AND</w:t>
      </w:r>
    </w:p>
    <w:p w14:paraId="5DD200C5" w14:textId="77777777" w:rsidR="00A62B66" w:rsidRPr="001B64E2" w:rsidRDefault="00A62B66" w:rsidP="00A62B66">
      <w:pPr>
        <w:pStyle w:val="ListParagraph"/>
        <w:numPr>
          <w:ilvl w:val="2"/>
          <w:numId w:val="18"/>
        </w:numPr>
        <w:ind w:left="1080"/>
        <w:rPr>
          <w:rFonts w:cs="Arial"/>
          <w:szCs w:val="20"/>
        </w:rPr>
      </w:pPr>
      <w:r w:rsidRPr="006002C7">
        <w:rPr>
          <w:rFonts w:cs="Arial"/>
          <w:bCs/>
          <w:szCs w:val="20"/>
        </w:rPr>
        <w:t>For genotype 1a:</w:t>
      </w:r>
      <w:r w:rsidRPr="006002C7">
        <w:rPr>
          <w:rFonts w:cs="Arial"/>
          <w:szCs w:val="20"/>
        </w:rPr>
        <w:t xml:space="preserve"> </w:t>
      </w:r>
      <w:r w:rsidRPr="001B64E2">
        <w:rPr>
          <w:rFonts w:cs="Arial"/>
          <w:szCs w:val="20"/>
        </w:rPr>
        <w:t>NS5A RAV poly</w:t>
      </w:r>
      <w:r>
        <w:rPr>
          <w:rFonts w:cs="Arial"/>
          <w:szCs w:val="20"/>
        </w:rPr>
        <w:t>morphism test results submitted</w:t>
      </w:r>
    </w:p>
    <w:p w14:paraId="1B509DCA" w14:textId="77777777" w:rsidR="00635DDB" w:rsidRPr="002C2C41" w:rsidRDefault="00635DDB" w:rsidP="00635DDB">
      <w:pPr>
        <w:rPr>
          <w:rFonts w:cs="Arial"/>
          <w:szCs w:val="20"/>
        </w:rPr>
      </w:pPr>
    </w:p>
    <w:p w14:paraId="7EC2017B" w14:textId="77777777" w:rsidR="00635DDB" w:rsidRPr="00917EF5" w:rsidRDefault="00635DDB" w:rsidP="00635DDB">
      <w:r w:rsidRPr="00917EF5">
        <w:t>Continuation of Therapy:</w:t>
      </w:r>
    </w:p>
    <w:p w14:paraId="09F3C366" w14:textId="77777777" w:rsidR="00923B99" w:rsidRPr="001B64E2" w:rsidRDefault="00923B99" w:rsidP="00923B99">
      <w:pPr>
        <w:pStyle w:val="ListParagraph"/>
        <w:numPr>
          <w:ilvl w:val="1"/>
          <w:numId w:val="18"/>
        </w:numPr>
        <w:rPr>
          <w:rFonts w:cs="Arial"/>
          <w:szCs w:val="20"/>
        </w:rPr>
      </w:pPr>
      <w:r w:rsidRPr="001B64E2">
        <w:rPr>
          <w:rFonts w:cs="Arial"/>
          <w:szCs w:val="20"/>
        </w:rPr>
        <w:t>Viral load must be submitted upon completion of treatment for non-preferred products and 12 weeks post treatment. FAILURE TO SUBMIT THESE LAB REPORTS OR IN A TIMELY FASHION MAY RESULT IN DENIAL OF RE-TREATMENT SHOULD THAT SITUATION ARISE.</w:t>
      </w:r>
    </w:p>
    <w:p w14:paraId="679BD51A" w14:textId="77777777" w:rsidR="00923B99" w:rsidRPr="001B64E2" w:rsidRDefault="00923B99" w:rsidP="00923B99">
      <w:pPr>
        <w:pStyle w:val="ListParagraph"/>
        <w:numPr>
          <w:ilvl w:val="1"/>
          <w:numId w:val="18"/>
        </w:numPr>
        <w:rPr>
          <w:rFonts w:cs="Arial"/>
          <w:szCs w:val="20"/>
        </w:rPr>
      </w:pPr>
      <w:r w:rsidRPr="001B64E2">
        <w:rPr>
          <w:rFonts w:cs="Arial"/>
          <w:szCs w:val="20"/>
        </w:rPr>
        <w:t xml:space="preserve">Occasionally duration of treatment of 24 weeks is necessary, a viral load must be obtained and submitted at week 10 of treatment with any results of &gt; 25 International Units resulting in possible discontinuance of treatment.  Not submitting this viral load in a timely fashion may result in </w:t>
      </w:r>
      <w:r>
        <w:rPr>
          <w:rFonts w:cs="Arial"/>
          <w:szCs w:val="20"/>
        </w:rPr>
        <w:t>the participant</w:t>
      </w:r>
      <w:r w:rsidRPr="001B64E2">
        <w:rPr>
          <w:rFonts w:cs="Arial"/>
          <w:szCs w:val="20"/>
        </w:rPr>
        <w:t xml:space="preserve"> having difficulty getting medication to begin week 13 of treatment.</w:t>
      </w:r>
    </w:p>
    <w:p w14:paraId="604B375C" w14:textId="77777777" w:rsidR="00923B99" w:rsidRPr="001B64E2" w:rsidRDefault="00923B99" w:rsidP="00923B99">
      <w:pPr>
        <w:pStyle w:val="ListParagraph"/>
        <w:numPr>
          <w:ilvl w:val="1"/>
          <w:numId w:val="18"/>
        </w:numPr>
        <w:rPr>
          <w:rFonts w:cs="Arial"/>
          <w:szCs w:val="20"/>
        </w:rPr>
      </w:pPr>
      <w:r w:rsidRPr="001B64E2">
        <w:rPr>
          <w:rFonts w:cs="Arial"/>
          <w:szCs w:val="20"/>
        </w:rPr>
        <w:t>Retreatment is at the discretion of MO HealthNet.</w:t>
      </w:r>
    </w:p>
    <w:p w14:paraId="4097BA5C" w14:textId="77777777" w:rsidR="00923B99" w:rsidRDefault="00923B99" w:rsidP="00923B99">
      <w:pPr>
        <w:ind w:left="360"/>
        <w:rPr>
          <w:rFonts w:cs="Arial"/>
          <w:szCs w:val="20"/>
        </w:rPr>
      </w:pPr>
    </w:p>
    <w:p w14:paraId="17D53184" w14:textId="77777777" w:rsidR="00923B99" w:rsidRDefault="00923B99" w:rsidP="00923B99">
      <w:pPr>
        <w:ind w:left="360"/>
        <w:rPr>
          <w:rFonts w:cs="Arial"/>
          <w:szCs w:val="20"/>
        </w:rPr>
      </w:pPr>
      <w:r w:rsidRPr="0003710E">
        <w:rPr>
          <w:rFonts w:cs="Arial"/>
          <w:szCs w:val="20"/>
        </w:rPr>
        <w:t>MO HealthNet uses three resources for drug interaction information, Facts and Comparisons, Micromedex</w:t>
      </w:r>
      <w:r>
        <w:rPr>
          <w:rFonts w:cs="Arial"/>
          <w:szCs w:val="20"/>
        </w:rPr>
        <w:t>,</w:t>
      </w:r>
      <w:r w:rsidRPr="0003710E">
        <w:rPr>
          <w:rFonts w:cs="Arial"/>
          <w:szCs w:val="20"/>
        </w:rPr>
        <w:t xml:space="preserve"> and University of Liverpool Hepatitis C Drug Interaction tool.  Provider resources other than the three listed will not supersede MO HealthNet’s resources.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6D0230CE" w14:textId="77777777" w:rsidR="006411C4" w:rsidRPr="0003710E" w:rsidRDefault="006411C4" w:rsidP="006411C4">
      <w:pPr>
        <w:numPr>
          <w:ilvl w:val="1"/>
          <w:numId w:val="6"/>
        </w:numPr>
        <w:rPr>
          <w:rFonts w:cs="Arial"/>
          <w:bCs/>
        </w:rPr>
      </w:pPr>
      <w:r>
        <w:rPr>
          <w:rFonts w:cs="Arial"/>
          <w:bCs/>
        </w:rPr>
        <w:t xml:space="preserve">Any approval criteria are not </w:t>
      </w:r>
      <w:proofErr w:type="gramStart"/>
      <w:r>
        <w:rPr>
          <w:rFonts w:cs="Arial"/>
          <w:bCs/>
        </w:rPr>
        <w:t>met;</w:t>
      </w:r>
      <w:proofErr w:type="gramEnd"/>
    </w:p>
    <w:p w14:paraId="08172E4C" w14:textId="77777777" w:rsidR="006411C4" w:rsidRPr="008361D6" w:rsidRDefault="006411C4" w:rsidP="006411C4">
      <w:pPr>
        <w:numPr>
          <w:ilvl w:val="1"/>
          <w:numId w:val="6"/>
        </w:numPr>
        <w:rPr>
          <w:rFonts w:cs="Arial"/>
          <w:bCs/>
        </w:rPr>
      </w:pPr>
      <w:r>
        <w:rPr>
          <w:rFonts w:cs="Arial"/>
          <w:szCs w:val="20"/>
        </w:rPr>
        <w:lastRenderedPageBreak/>
        <w:t xml:space="preserve">Greater than </w:t>
      </w:r>
      <w:r w:rsidRPr="00A26D65">
        <w:rPr>
          <w:rFonts w:cs="Arial"/>
          <w:bCs/>
        </w:rPr>
        <w:t xml:space="preserve">a </w:t>
      </w:r>
      <w:proofErr w:type="gramStart"/>
      <w:r w:rsidRPr="00A40E5B">
        <w:rPr>
          <w:rFonts w:cs="Arial"/>
          <w:bCs/>
        </w:rPr>
        <w:t>14</w:t>
      </w:r>
      <w:r>
        <w:rPr>
          <w:rFonts w:cs="Arial"/>
          <w:bCs/>
        </w:rPr>
        <w:t xml:space="preserve"> </w:t>
      </w:r>
      <w:r w:rsidRPr="00A26D65">
        <w:rPr>
          <w:rFonts w:cs="Arial"/>
          <w:bCs/>
        </w:rPr>
        <w:t>day</w:t>
      </w:r>
      <w:proofErr w:type="gramEnd"/>
      <w:r w:rsidRPr="00A26D65">
        <w:rPr>
          <w:rFonts w:cs="Arial"/>
          <w:bCs/>
        </w:rPr>
        <w:t xml:space="preserve"> gap between prior claim and incoming claim with a 168 day look back</w:t>
      </w:r>
      <w:r>
        <w:rPr>
          <w:rFonts w:cs="Arial"/>
          <w:bCs/>
        </w:rPr>
        <w:t xml:space="preserve"> </w:t>
      </w:r>
      <w:r w:rsidRPr="00171EF7">
        <w:rPr>
          <w:rFonts w:cs="Arial"/>
          <w:bCs/>
        </w:rPr>
        <w:t xml:space="preserve">(excluding claims for </w:t>
      </w:r>
      <w:proofErr w:type="spellStart"/>
      <w:r w:rsidRPr="00171EF7">
        <w:rPr>
          <w:rFonts w:cs="Arial"/>
          <w:bCs/>
        </w:rPr>
        <w:t>Mavyret</w:t>
      </w:r>
      <w:proofErr w:type="spellEnd"/>
      <w:r w:rsidRPr="00171EF7">
        <w:rPr>
          <w:rFonts w:cs="Arial"/>
          <w:bCs/>
        </w:rPr>
        <w:t>)</w:t>
      </w:r>
      <w:r>
        <w:rPr>
          <w:rFonts w:cs="Arial"/>
          <w:bCs/>
        </w:rPr>
        <w:t xml:space="preserve">; </w:t>
      </w:r>
      <w:r w:rsidRPr="0003710E">
        <w:rPr>
          <w:rFonts w:cs="Arial"/>
          <w:b/>
          <w:bCs/>
        </w:rPr>
        <w:t>OR</w:t>
      </w:r>
    </w:p>
    <w:p w14:paraId="7C57DCF7" w14:textId="77777777" w:rsidR="006411C4" w:rsidRDefault="006411C4" w:rsidP="006411C4">
      <w:pPr>
        <w:pStyle w:val="ListParagraph"/>
        <w:numPr>
          <w:ilvl w:val="1"/>
          <w:numId w:val="6"/>
        </w:numPr>
        <w:rPr>
          <w:rFonts w:cs="Arial"/>
          <w:noProof/>
          <w:szCs w:val="20"/>
        </w:rPr>
      </w:pPr>
      <w:r>
        <w:rPr>
          <w:rFonts w:cs="Arial"/>
          <w:noProof/>
          <w:szCs w:val="20"/>
        </w:rPr>
        <w:t>Claim exceeds maximum dosing limitation for the following:</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4061"/>
        <w:gridCol w:w="2250"/>
      </w:tblGrid>
      <w:tr w:rsidR="006411C4" w:rsidRPr="00510428" w14:paraId="0F05C5AC" w14:textId="77777777" w:rsidTr="00917EF5">
        <w:trPr>
          <w:jc w:val="center"/>
        </w:trPr>
        <w:tc>
          <w:tcPr>
            <w:tcW w:w="3584" w:type="dxa"/>
            <w:vAlign w:val="bottom"/>
          </w:tcPr>
          <w:p w14:paraId="51C4FB3F" w14:textId="77777777" w:rsidR="006411C4" w:rsidRPr="00510428" w:rsidRDefault="006411C4" w:rsidP="00EB580D">
            <w:pPr>
              <w:rPr>
                <w:rFonts w:cs="Arial"/>
                <w:szCs w:val="20"/>
              </w:rPr>
            </w:pPr>
            <w:r w:rsidRPr="00510428">
              <w:rPr>
                <w:rFonts w:cs="Arial"/>
                <w:b/>
                <w:szCs w:val="20"/>
              </w:rPr>
              <w:t>Drug Description</w:t>
            </w:r>
          </w:p>
        </w:tc>
        <w:tc>
          <w:tcPr>
            <w:tcW w:w="4061" w:type="dxa"/>
            <w:vAlign w:val="bottom"/>
          </w:tcPr>
          <w:p w14:paraId="0CE7821F" w14:textId="77777777" w:rsidR="006411C4" w:rsidRPr="00510428" w:rsidRDefault="006411C4" w:rsidP="00EB580D">
            <w:pPr>
              <w:rPr>
                <w:rFonts w:cs="Arial"/>
                <w:szCs w:val="20"/>
              </w:rPr>
            </w:pPr>
            <w:r w:rsidRPr="00510428">
              <w:rPr>
                <w:rFonts w:cs="Arial"/>
                <w:b/>
                <w:szCs w:val="20"/>
              </w:rPr>
              <w:t>Generic Equivalent</w:t>
            </w:r>
          </w:p>
        </w:tc>
        <w:tc>
          <w:tcPr>
            <w:tcW w:w="2250" w:type="dxa"/>
          </w:tcPr>
          <w:p w14:paraId="287797C2" w14:textId="77777777" w:rsidR="006411C4" w:rsidRPr="00510428" w:rsidRDefault="006411C4" w:rsidP="00EB580D">
            <w:pPr>
              <w:rPr>
                <w:rFonts w:cs="Arial"/>
                <w:b/>
                <w:szCs w:val="20"/>
              </w:rPr>
            </w:pPr>
            <w:r w:rsidRPr="00510428">
              <w:rPr>
                <w:rFonts w:cs="Arial"/>
                <w:b/>
                <w:szCs w:val="20"/>
              </w:rPr>
              <w:t>Max Dosing Limi</w:t>
            </w:r>
            <w:r>
              <w:rPr>
                <w:rFonts w:cs="Arial"/>
                <w:b/>
                <w:szCs w:val="20"/>
              </w:rPr>
              <w:t>ts</w:t>
            </w:r>
          </w:p>
        </w:tc>
      </w:tr>
      <w:tr w:rsidR="006411C4" w:rsidRPr="00510428" w14:paraId="500DFC94"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6B7D02F1" w14:textId="77777777" w:rsidR="006411C4" w:rsidRPr="00A40E5B" w:rsidRDefault="006411C4" w:rsidP="00EB580D">
            <w:pPr>
              <w:jc w:val="both"/>
              <w:rPr>
                <w:rFonts w:cs="Arial"/>
                <w:caps/>
                <w:szCs w:val="20"/>
              </w:rPr>
            </w:pPr>
            <w:r w:rsidRPr="00A40E5B">
              <w:rPr>
                <w:rFonts w:cs="Arial"/>
                <w:caps/>
                <w:szCs w:val="20"/>
              </w:rPr>
              <w:t>EPCLUSA 200 mg-50 mg tablet</w:t>
            </w:r>
          </w:p>
        </w:tc>
        <w:tc>
          <w:tcPr>
            <w:tcW w:w="4061" w:type="dxa"/>
            <w:tcBorders>
              <w:top w:val="single" w:sz="4" w:space="0" w:color="auto"/>
              <w:left w:val="single" w:sz="4" w:space="0" w:color="auto"/>
              <w:bottom w:val="single" w:sz="4" w:space="0" w:color="auto"/>
              <w:right w:val="single" w:sz="4" w:space="0" w:color="auto"/>
            </w:tcBorders>
            <w:vAlign w:val="bottom"/>
          </w:tcPr>
          <w:p w14:paraId="35E6BEE1" w14:textId="77777777" w:rsidR="006411C4" w:rsidRPr="00A40E5B" w:rsidRDefault="006411C4" w:rsidP="00EB580D">
            <w:pPr>
              <w:rPr>
                <w:rFonts w:cs="Arial"/>
                <w:caps/>
                <w:szCs w:val="20"/>
              </w:rPr>
            </w:pPr>
            <w:r w:rsidRPr="00A40E5B">
              <w:rPr>
                <w:rFonts w:cs="Arial"/>
                <w:caps/>
                <w:szCs w:val="20"/>
              </w:rPr>
              <w:t>sofosbuvir/velpatasvir</w:t>
            </w:r>
          </w:p>
        </w:tc>
        <w:tc>
          <w:tcPr>
            <w:tcW w:w="2250" w:type="dxa"/>
            <w:tcBorders>
              <w:top w:val="single" w:sz="4" w:space="0" w:color="auto"/>
              <w:left w:val="single" w:sz="4" w:space="0" w:color="auto"/>
              <w:bottom w:val="single" w:sz="4" w:space="0" w:color="auto"/>
              <w:right w:val="single" w:sz="4" w:space="0" w:color="auto"/>
            </w:tcBorders>
          </w:tcPr>
          <w:p w14:paraId="703583CB" w14:textId="77777777" w:rsidR="006411C4" w:rsidRPr="00A40E5B"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12059A21"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439FA118" w14:textId="77777777" w:rsidR="006411C4" w:rsidRPr="00A40E5B" w:rsidRDefault="006411C4" w:rsidP="00EB580D">
            <w:pPr>
              <w:jc w:val="both"/>
              <w:rPr>
                <w:rFonts w:cs="Arial"/>
                <w:szCs w:val="20"/>
              </w:rPr>
            </w:pPr>
            <w:r w:rsidRPr="00A40E5B">
              <w:rPr>
                <w:rFonts w:cs="Arial"/>
                <w:caps/>
                <w:szCs w:val="20"/>
              </w:rPr>
              <w:t>EPCLUSA 400 MG-100 MG TABLET</w:t>
            </w:r>
          </w:p>
        </w:tc>
        <w:tc>
          <w:tcPr>
            <w:tcW w:w="4061" w:type="dxa"/>
            <w:tcBorders>
              <w:top w:val="single" w:sz="4" w:space="0" w:color="auto"/>
              <w:left w:val="single" w:sz="4" w:space="0" w:color="auto"/>
              <w:bottom w:val="single" w:sz="4" w:space="0" w:color="auto"/>
              <w:right w:val="single" w:sz="4" w:space="0" w:color="auto"/>
            </w:tcBorders>
            <w:vAlign w:val="bottom"/>
          </w:tcPr>
          <w:p w14:paraId="5DF3DBB3" w14:textId="77777777" w:rsidR="006411C4" w:rsidRPr="00A40E5B" w:rsidRDefault="006411C4" w:rsidP="00EB580D">
            <w:pPr>
              <w:rPr>
                <w:rFonts w:cs="Arial"/>
                <w:szCs w:val="20"/>
              </w:rPr>
            </w:pPr>
            <w:r w:rsidRPr="00A40E5B">
              <w:rPr>
                <w:rFonts w:cs="Arial"/>
                <w:caps/>
                <w:szCs w:val="20"/>
              </w:rPr>
              <w:t>sofosbuvir/velpatasvir</w:t>
            </w:r>
          </w:p>
        </w:tc>
        <w:tc>
          <w:tcPr>
            <w:tcW w:w="2250" w:type="dxa"/>
            <w:tcBorders>
              <w:top w:val="single" w:sz="4" w:space="0" w:color="auto"/>
              <w:left w:val="single" w:sz="4" w:space="0" w:color="auto"/>
              <w:bottom w:val="single" w:sz="4" w:space="0" w:color="auto"/>
              <w:right w:val="single" w:sz="4" w:space="0" w:color="auto"/>
            </w:tcBorders>
          </w:tcPr>
          <w:p w14:paraId="6F4054E4" w14:textId="77777777" w:rsidR="006411C4" w:rsidRPr="00A40E5B"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0C1F7406"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7BF69BA8" w14:textId="77777777" w:rsidR="006411C4" w:rsidRPr="00C2370A" w:rsidRDefault="006411C4" w:rsidP="00EB580D">
            <w:pPr>
              <w:jc w:val="both"/>
              <w:rPr>
                <w:rFonts w:cs="Arial"/>
              </w:rPr>
            </w:pPr>
            <w:r w:rsidRPr="00C2370A">
              <w:rPr>
                <w:rFonts w:cs="Arial"/>
                <w:caps/>
              </w:rPr>
              <w:t>EPCLUSA 150-37.5 MG PELLET PKT</w:t>
            </w:r>
          </w:p>
        </w:tc>
        <w:tc>
          <w:tcPr>
            <w:tcW w:w="4061" w:type="dxa"/>
            <w:tcBorders>
              <w:top w:val="single" w:sz="4" w:space="0" w:color="auto"/>
              <w:left w:val="nil"/>
              <w:bottom w:val="single" w:sz="4" w:space="0" w:color="auto"/>
              <w:right w:val="single" w:sz="4" w:space="0" w:color="auto"/>
            </w:tcBorders>
            <w:vAlign w:val="bottom"/>
          </w:tcPr>
          <w:p w14:paraId="3EBE7AA9" w14:textId="77777777" w:rsidR="006411C4" w:rsidRPr="00C2370A" w:rsidRDefault="006411C4" w:rsidP="00EB580D">
            <w:pPr>
              <w:rPr>
                <w:rFonts w:cs="Arial"/>
                <w:caps/>
              </w:rPr>
            </w:pPr>
            <w:r w:rsidRPr="00C2370A">
              <w:rPr>
                <w:rFonts w:cs="Arial"/>
                <w:caps/>
              </w:rPr>
              <w:t>sofosbuvir and velpatasvir</w:t>
            </w:r>
          </w:p>
        </w:tc>
        <w:tc>
          <w:tcPr>
            <w:tcW w:w="2250" w:type="dxa"/>
            <w:tcBorders>
              <w:top w:val="single" w:sz="4" w:space="0" w:color="auto"/>
              <w:left w:val="single" w:sz="4" w:space="0" w:color="auto"/>
              <w:bottom w:val="single" w:sz="4" w:space="0" w:color="auto"/>
              <w:right w:val="single" w:sz="4" w:space="0" w:color="auto"/>
            </w:tcBorders>
          </w:tcPr>
          <w:p w14:paraId="2C747E56" w14:textId="77777777" w:rsidR="006411C4" w:rsidRPr="00C2370A"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64A2ACAC"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2DB2C84C" w14:textId="77777777" w:rsidR="006411C4" w:rsidRPr="00C2370A" w:rsidRDefault="006411C4" w:rsidP="00EB580D">
            <w:pPr>
              <w:jc w:val="both"/>
              <w:rPr>
                <w:rFonts w:cs="Arial"/>
              </w:rPr>
            </w:pPr>
            <w:r w:rsidRPr="00C2370A">
              <w:rPr>
                <w:rFonts w:cs="Arial"/>
                <w:caps/>
              </w:rPr>
              <w:t>EPCLUSA 200-50 MG PELLET PACK</w:t>
            </w:r>
          </w:p>
        </w:tc>
        <w:tc>
          <w:tcPr>
            <w:tcW w:w="4061" w:type="dxa"/>
            <w:tcBorders>
              <w:top w:val="single" w:sz="4" w:space="0" w:color="auto"/>
              <w:left w:val="nil"/>
              <w:bottom w:val="single" w:sz="4" w:space="0" w:color="auto"/>
              <w:right w:val="single" w:sz="4" w:space="0" w:color="auto"/>
            </w:tcBorders>
            <w:vAlign w:val="bottom"/>
          </w:tcPr>
          <w:p w14:paraId="3EBAD557" w14:textId="77777777" w:rsidR="006411C4" w:rsidRPr="00C2370A" w:rsidRDefault="006411C4" w:rsidP="00EB580D">
            <w:pPr>
              <w:rPr>
                <w:rFonts w:cs="Arial"/>
                <w:caps/>
              </w:rPr>
            </w:pPr>
            <w:r w:rsidRPr="00C2370A">
              <w:rPr>
                <w:rFonts w:cs="Arial"/>
                <w:caps/>
              </w:rPr>
              <w:t>sofosbuvir and velpatasvir</w:t>
            </w:r>
          </w:p>
        </w:tc>
        <w:tc>
          <w:tcPr>
            <w:tcW w:w="2250" w:type="dxa"/>
            <w:tcBorders>
              <w:top w:val="single" w:sz="4" w:space="0" w:color="auto"/>
              <w:left w:val="single" w:sz="4" w:space="0" w:color="auto"/>
              <w:bottom w:val="single" w:sz="4" w:space="0" w:color="auto"/>
              <w:right w:val="single" w:sz="4" w:space="0" w:color="auto"/>
            </w:tcBorders>
          </w:tcPr>
          <w:p w14:paraId="20973A42" w14:textId="77777777" w:rsidR="006411C4" w:rsidRPr="00C2370A"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20D27F45"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4FC73340" w14:textId="77777777" w:rsidR="006411C4" w:rsidRPr="00A40E5B" w:rsidRDefault="006411C4" w:rsidP="00EB580D">
            <w:pPr>
              <w:jc w:val="both"/>
              <w:rPr>
                <w:rFonts w:cs="Arial"/>
                <w:caps/>
                <w:szCs w:val="20"/>
              </w:rPr>
            </w:pPr>
            <w:r w:rsidRPr="00A40E5B">
              <w:rPr>
                <w:rFonts w:cs="Arial"/>
              </w:rPr>
              <w:t>HARVONI 33.75-150 MG PELLET PK</w:t>
            </w:r>
          </w:p>
        </w:tc>
        <w:tc>
          <w:tcPr>
            <w:tcW w:w="4061" w:type="dxa"/>
            <w:tcBorders>
              <w:top w:val="single" w:sz="4" w:space="0" w:color="auto"/>
              <w:left w:val="single" w:sz="4" w:space="0" w:color="auto"/>
              <w:bottom w:val="single" w:sz="4" w:space="0" w:color="auto"/>
              <w:right w:val="single" w:sz="4" w:space="0" w:color="auto"/>
            </w:tcBorders>
          </w:tcPr>
          <w:p w14:paraId="28060641" w14:textId="77777777" w:rsidR="006411C4" w:rsidRPr="00A40E5B" w:rsidRDefault="006411C4" w:rsidP="00EB580D">
            <w:pPr>
              <w:rPr>
                <w:rFonts w:cs="Arial"/>
                <w:caps/>
                <w:szCs w:val="20"/>
              </w:rPr>
            </w:pPr>
            <w:r w:rsidRPr="00A40E5B">
              <w:rPr>
                <w:rFonts w:cs="Arial"/>
                <w:caps/>
              </w:rPr>
              <w:t>Ledipasvir/Sofosbuvir</w:t>
            </w:r>
          </w:p>
        </w:tc>
        <w:tc>
          <w:tcPr>
            <w:tcW w:w="2250" w:type="dxa"/>
            <w:tcBorders>
              <w:top w:val="single" w:sz="4" w:space="0" w:color="auto"/>
              <w:left w:val="single" w:sz="4" w:space="0" w:color="auto"/>
              <w:bottom w:val="single" w:sz="4" w:space="0" w:color="auto"/>
              <w:right w:val="single" w:sz="4" w:space="0" w:color="auto"/>
            </w:tcBorders>
          </w:tcPr>
          <w:p w14:paraId="0A2AA397" w14:textId="77777777" w:rsidR="006411C4" w:rsidRPr="00A40E5B" w:rsidRDefault="006411C4" w:rsidP="00EB580D">
            <w:pPr>
              <w:rPr>
                <w:rFonts w:cs="Arial"/>
                <w:szCs w:val="20"/>
              </w:rPr>
            </w:pPr>
            <w:r w:rsidRPr="00A40E5B">
              <w:rPr>
                <w:rFonts w:cs="Arial"/>
                <w:szCs w:val="20"/>
              </w:rPr>
              <w:t>28 packets for 28 days</w:t>
            </w:r>
          </w:p>
        </w:tc>
      </w:tr>
      <w:tr w:rsidR="006411C4" w:rsidRPr="00510428" w14:paraId="043FCFB0"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4669425F" w14:textId="77777777" w:rsidR="006411C4" w:rsidRPr="00A40E5B" w:rsidRDefault="006411C4" w:rsidP="00EB580D">
            <w:pPr>
              <w:jc w:val="both"/>
              <w:rPr>
                <w:rFonts w:cs="Arial"/>
                <w:caps/>
                <w:szCs w:val="20"/>
              </w:rPr>
            </w:pPr>
            <w:r w:rsidRPr="00A40E5B">
              <w:rPr>
                <w:rFonts w:cs="Arial"/>
              </w:rPr>
              <w:t>HARVONI 45-200 MG PELLET PK</w:t>
            </w:r>
          </w:p>
        </w:tc>
        <w:tc>
          <w:tcPr>
            <w:tcW w:w="4061" w:type="dxa"/>
            <w:tcBorders>
              <w:top w:val="single" w:sz="4" w:space="0" w:color="auto"/>
              <w:left w:val="single" w:sz="4" w:space="0" w:color="auto"/>
              <w:bottom w:val="single" w:sz="4" w:space="0" w:color="auto"/>
              <w:right w:val="single" w:sz="4" w:space="0" w:color="auto"/>
            </w:tcBorders>
          </w:tcPr>
          <w:p w14:paraId="4F241B37" w14:textId="77777777" w:rsidR="006411C4" w:rsidRPr="00A40E5B" w:rsidRDefault="006411C4" w:rsidP="00EB580D">
            <w:pPr>
              <w:rPr>
                <w:rFonts w:cs="Arial"/>
                <w:caps/>
                <w:szCs w:val="20"/>
              </w:rPr>
            </w:pPr>
            <w:r w:rsidRPr="00A40E5B">
              <w:rPr>
                <w:rFonts w:cs="Arial"/>
                <w:caps/>
              </w:rPr>
              <w:t>Ledipasvir/Sofosbuvir</w:t>
            </w:r>
          </w:p>
        </w:tc>
        <w:tc>
          <w:tcPr>
            <w:tcW w:w="2250" w:type="dxa"/>
            <w:tcBorders>
              <w:top w:val="single" w:sz="4" w:space="0" w:color="auto"/>
              <w:left w:val="single" w:sz="4" w:space="0" w:color="auto"/>
              <w:bottom w:val="single" w:sz="4" w:space="0" w:color="auto"/>
              <w:right w:val="single" w:sz="4" w:space="0" w:color="auto"/>
            </w:tcBorders>
          </w:tcPr>
          <w:p w14:paraId="3734EB9E" w14:textId="77777777" w:rsidR="006411C4" w:rsidRPr="00A40E5B" w:rsidRDefault="006411C4" w:rsidP="00EB580D">
            <w:pPr>
              <w:rPr>
                <w:rFonts w:cs="Arial"/>
                <w:szCs w:val="20"/>
              </w:rPr>
            </w:pPr>
            <w:r w:rsidRPr="00A40E5B">
              <w:rPr>
                <w:rFonts w:cs="Arial"/>
                <w:szCs w:val="20"/>
              </w:rPr>
              <w:t>28 packets for 28 days</w:t>
            </w:r>
          </w:p>
        </w:tc>
      </w:tr>
      <w:tr w:rsidR="006411C4" w:rsidRPr="00510428" w14:paraId="2124976F"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1F0F4AC3" w14:textId="77777777" w:rsidR="006411C4" w:rsidRPr="00A40E5B" w:rsidRDefault="006411C4" w:rsidP="00EB580D">
            <w:pPr>
              <w:jc w:val="both"/>
              <w:rPr>
                <w:rFonts w:cs="Arial"/>
                <w:caps/>
                <w:szCs w:val="20"/>
              </w:rPr>
            </w:pPr>
            <w:r w:rsidRPr="00A40E5B">
              <w:rPr>
                <w:rFonts w:cs="Arial"/>
              </w:rPr>
              <w:t>HARVONI 45-200 MG TABLET</w:t>
            </w:r>
          </w:p>
        </w:tc>
        <w:tc>
          <w:tcPr>
            <w:tcW w:w="4061" w:type="dxa"/>
            <w:tcBorders>
              <w:top w:val="single" w:sz="4" w:space="0" w:color="auto"/>
              <w:left w:val="single" w:sz="4" w:space="0" w:color="auto"/>
              <w:bottom w:val="single" w:sz="4" w:space="0" w:color="auto"/>
              <w:right w:val="single" w:sz="4" w:space="0" w:color="auto"/>
            </w:tcBorders>
          </w:tcPr>
          <w:p w14:paraId="28B3DAAE" w14:textId="77777777" w:rsidR="006411C4" w:rsidRPr="00A40E5B" w:rsidRDefault="006411C4" w:rsidP="00EB580D">
            <w:pPr>
              <w:rPr>
                <w:rFonts w:cs="Arial"/>
                <w:caps/>
                <w:szCs w:val="20"/>
              </w:rPr>
            </w:pPr>
            <w:r w:rsidRPr="00A40E5B">
              <w:rPr>
                <w:rFonts w:cs="Arial"/>
                <w:caps/>
              </w:rPr>
              <w:t>Ledipasvir/Sofosbuvir</w:t>
            </w:r>
          </w:p>
        </w:tc>
        <w:tc>
          <w:tcPr>
            <w:tcW w:w="2250" w:type="dxa"/>
            <w:tcBorders>
              <w:top w:val="single" w:sz="4" w:space="0" w:color="auto"/>
              <w:left w:val="single" w:sz="4" w:space="0" w:color="auto"/>
              <w:bottom w:val="single" w:sz="4" w:space="0" w:color="auto"/>
              <w:right w:val="single" w:sz="4" w:space="0" w:color="auto"/>
            </w:tcBorders>
          </w:tcPr>
          <w:p w14:paraId="16D915C3" w14:textId="77777777" w:rsidR="006411C4" w:rsidRPr="00A40E5B"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4D78D7A4"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13D23CA4" w14:textId="77777777" w:rsidR="006411C4" w:rsidRPr="00A40E5B" w:rsidRDefault="006411C4" w:rsidP="00EB580D">
            <w:pPr>
              <w:jc w:val="both"/>
              <w:rPr>
                <w:rFonts w:cs="Arial"/>
                <w:szCs w:val="20"/>
              </w:rPr>
            </w:pPr>
            <w:r w:rsidRPr="00A40E5B">
              <w:rPr>
                <w:rFonts w:cs="Arial"/>
                <w:caps/>
                <w:szCs w:val="20"/>
              </w:rPr>
              <w:t xml:space="preserve">Harvoni 90-400 mg </w:t>
            </w:r>
          </w:p>
        </w:tc>
        <w:tc>
          <w:tcPr>
            <w:tcW w:w="4061" w:type="dxa"/>
            <w:tcBorders>
              <w:top w:val="single" w:sz="4" w:space="0" w:color="auto"/>
              <w:left w:val="single" w:sz="4" w:space="0" w:color="auto"/>
              <w:bottom w:val="single" w:sz="4" w:space="0" w:color="auto"/>
              <w:right w:val="single" w:sz="4" w:space="0" w:color="auto"/>
            </w:tcBorders>
            <w:vAlign w:val="bottom"/>
          </w:tcPr>
          <w:p w14:paraId="036D25B7" w14:textId="77777777" w:rsidR="006411C4" w:rsidRPr="00A40E5B" w:rsidRDefault="006411C4" w:rsidP="00EB580D">
            <w:pPr>
              <w:rPr>
                <w:rFonts w:cs="Arial"/>
                <w:szCs w:val="20"/>
              </w:rPr>
            </w:pPr>
            <w:r w:rsidRPr="00A40E5B">
              <w:rPr>
                <w:rFonts w:cs="Arial"/>
                <w:caps/>
                <w:szCs w:val="20"/>
              </w:rPr>
              <w:t>ledipasvir and sofosbuvir</w:t>
            </w:r>
          </w:p>
        </w:tc>
        <w:tc>
          <w:tcPr>
            <w:tcW w:w="2250" w:type="dxa"/>
            <w:tcBorders>
              <w:top w:val="single" w:sz="4" w:space="0" w:color="auto"/>
              <w:left w:val="single" w:sz="4" w:space="0" w:color="auto"/>
              <w:bottom w:val="single" w:sz="4" w:space="0" w:color="auto"/>
              <w:right w:val="single" w:sz="4" w:space="0" w:color="auto"/>
            </w:tcBorders>
          </w:tcPr>
          <w:p w14:paraId="0D4C918F" w14:textId="77777777" w:rsidR="006411C4" w:rsidRPr="00A40E5B"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666A2B25"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center"/>
          </w:tcPr>
          <w:p w14:paraId="2FF58D5D" w14:textId="77777777" w:rsidR="006411C4" w:rsidRPr="00A40E5B" w:rsidRDefault="006411C4" w:rsidP="00EB580D">
            <w:pPr>
              <w:jc w:val="both"/>
              <w:rPr>
                <w:rFonts w:cs="Arial"/>
                <w:caps/>
                <w:szCs w:val="20"/>
              </w:rPr>
            </w:pPr>
            <w:r w:rsidRPr="00A40E5B">
              <w:rPr>
                <w:rFonts w:cs="Arial"/>
                <w:szCs w:val="20"/>
              </w:rPr>
              <w:t>SOVALDI 150 MG PELLET PACKET</w:t>
            </w:r>
          </w:p>
        </w:tc>
        <w:tc>
          <w:tcPr>
            <w:tcW w:w="4061" w:type="dxa"/>
            <w:tcBorders>
              <w:top w:val="single" w:sz="4" w:space="0" w:color="auto"/>
              <w:left w:val="single" w:sz="4" w:space="0" w:color="auto"/>
              <w:bottom w:val="single" w:sz="4" w:space="0" w:color="auto"/>
              <w:right w:val="single" w:sz="4" w:space="0" w:color="auto"/>
            </w:tcBorders>
            <w:vAlign w:val="center"/>
          </w:tcPr>
          <w:p w14:paraId="7A3CFA01" w14:textId="77777777" w:rsidR="006411C4" w:rsidRPr="00A40E5B" w:rsidRDefault="006411C4" w:rsidP="00EB580D">
            <w:pPr>
              <w:rPr>
                <w:rFonts w:cs="Arial"/>
                <w:caps/>
                <w:szCs w:val="20"/>
              </w:rPr>
            </w:pPr>
            <w:r w:rsidRPr="00A40E5B">
              <w:rPr>
                <w:rFonts w:cs="Arial"/>
                <w:szCs w:val="20"/>
              </w:rPr>
              <w:t>SOFOSBUVIR</w:t>
            </w:r>
          </w:p>
        </w:tc>
        <w:tc>
          <w:tcPr>
            <w:tcW w:w="2250" w:type="dxa"/>
            <w:tcBorders>
              <w:top w:val="single" w:sz="4" w:space="0" w:color="auto"/>
              <w:left w:val="single" w:sz="4" w:space="0" w:color="auto"/>
              <w:bottom w:val="single" w:sz="4" w:space="0" w:color="auto"/>
              <w:right w:val="single" w:sz="4" w:space="0" w:color="auto"/>
            </w:tcBorders>
          </w:tcPr>
          <w:p w14:paraId="104FF4AC" w14:textId="77777777" w:rsidR="006411C4" w:rsidRPr="00A40E5B" w:rsidRDefault="006411C4" w:rsidP="00EB580D">
            <w:pPr>
              <w:rPr>
                <w:rFonts w:cs="Arial"/>
                <w:szCs w:val="20"/>
              </w:rPr>
            </w:pPr>
            <w:r w:rsidRPr="00A40E5B">
              <w:rPr>
                <w:rFonts w:cs="Arial"/>
                <w:szCs w:val="20"/>
              </w:rPr>
              <w:t>28 packets for 28 days</w:t>
            </w:r>
          </w:p>
        </w:tc>
      </w:tr>
      <w:tr w:rsidR="006411C4" w:rsidRPr="00510428" w14:paraId="4758CF7A"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center"/>
          </w:tcPr>
          <w:p w14:paraId="12062148" w14:textId="77777777" w:rsidR="006411C4" w:rsidRPr="00A40E5B" w:rsidRDefault="006411C4" w:rsidP="00EB580D">
            <w:pPr>
              <w:jc w:val="both"/>
              <w:rPr>
                <w:rFonts w:cs="Arial"/>
                <w:caps/>
                <w:szCs w:val="20"/>
              </w:rPr>
            </w:pPr>
            <w:r w:rsidRPr="00A40E5B">
              <w:rPr>
                <w:rFonts w:cs="Arial"/>
                <w:szCs w:val="20"/>
              </w:rPr>
              <w:t>SOVALDI 200 MG PELLET PACKET</w:t>
            </w:r>
          </w:p>
        </w:tc>
        <w:tc>
          <w:tcPr>
            <w:tcW w:w="4061" w:type="dxa"/>
            <w:tcBorders>
              <w:top w:val="single" w:sz="4" w:space="0" w:color="auto"/>
              <w:left w:val="single" w:sz="4" w:space="0" w:color="auto"/>
              <w:bottom w:val="single" w:sz="4" w:space="0" w:color="auto"/>
              <w:right w:val="single" w:sz="4" w:space="0" w:color="auto"/>
            </w:tcBorders>
            <w:vAlign w:val="center"/>
          </w:tcPr>
          <w:p w14:paraId="10377DC8" w14:textId="77777777" w:rsidR="006411C4" w:rsidRPr="00A40E5B" w:rsidRDefault="006411C4" w:rsidP="00EB580D">
            <w:pPr>
              <w:rPr>
                <w:rFonts w:cs="Arial"/>
                <w:caps/>
                <w:szCs w:val="20"/>
              </w:rPr>
            </w:pPr>
            <w:r w:rsidRPr="00A40E5B">
              <w:rPr>
                <w:rFonts w:cs="Arial"/>
                <w:szCs w:val="20"/>
              </w:rPr>
              <w:t>SOFOSBUVIR</w:t>
            </w:r>
          </w:p>
        </w:tc>
        <w:tc>
          <w:tcPr>
            <w:tcW w:w="2250" w:type="dxa"/>
            <w:tcBorders>
              <w:top w:val="single" w:sz="4" w:space="0" w:color="auto"/>
              <w:left w:val="single" w:sz="4" w:space="0" w:color="auto"/>
              <w:bottom w:val="single" w:sz="4" w:space="0" w:color="auto"/>
              <w:right w:val="single" w:sz="4" w:space="0" w:color="auto"/>
            </w:tcBorders>
          </w:tcPr>
          <w:p w14:paraId="3BE12518" w14:textId="77777777" w:rsidR="006411C4" w:rsidRPr="00A40E5B" w:rsidRDefault="006411C4" w:rsidP="00EB580D">
            <w:pPr>
              <w:rPr>
                <w:rFonts w:cs="Arial"/>
                <w:szCs w:val="20"/>
              </w:rPr>
            </w:pPr>
            <w:r w:rsidRPr="00A40E5B">
              <w:rPr>
                <w:rFonts w:cs="Arial"/>
                <w:szCs w:val="20"/>
              </w:rPr>
              <w:t>28 packets for 28 days</w:t>
            </w:r>
          </w:p>
        </w:tc>
      </w:tr>
      <w:tr w:rsidR="006411C4" w:rsidRPr="00510428" w14:paraId="5473288D"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center"/>
          </w:tcPr>
          <w:p w14:paraId="351C5948" w14:textId="77777777" w:rsidR="006411C4" w:rsidRPr="00A40E5B" w:rsidRDefault="006411C4" w:rsidP="00EB580D">
            <w:pPr>
              <w:jc w:val="both"/>
              <w:rPr>
                <w:rFonts w:cs="Arial"/>
                <w:caps/>
                <w:szCs w:val="20"/>
              </w:rPr>
            </w:pPr>
            <w:r w:rsidRPr="00A40E5B">
              <w:rPr>
                <w:rFonts w:cs="Arial"/>
                <w:szCs w:val="20"/>
              </w:rPr>
              <w:t>SOVALDI 200 MG TABLET</w:t>
            </w:r>
          </w:p>
        </w:tc>
        <w:tc>
          <w:tcPr>
            <w:tcW w:w="4061" w:type="dxa"/>
            <w:tcBorders>
              <w:top w:val="single" w:sz="4" w:space="0" w:color="auto"/>
              <w:left w:val="single" w:sz="4" w:space="0" w:color="auto"/>
              <w:bottom w:val="single" w:sz="4" w:space="0" w:color="auto"/>
              <w:right w:val="single" w:sz="4" w:space="0" w:color="auto"/>
            </w:tcBorders>
            <w:vAlign w:val="center"/>
          </w:tcPr>
          <w:p w14:paraId="1B99F075" w14:textId="77777777" w:rsidR="006411C4" w:rsidRPr="00A40E5B" w:rsidRDefault="006411C4" w:rsidP="00EB580D">
            <w:pPr>
              <w:rPr>
                <w:rFonts w:cs="Arial"/>
                <w:caps/>
                <w:szCs w:val="20"/>
              </w:rPr>
            </w:pPr>
            <w:r w:rsidRPr="00A40E5B">
              <w:rPr>
                <w:rFonts w:cs="Arial"/>
                <w:caps/>
                <w:szCs w:val="20"/>
              </w:rPr>
              <w:t>sofosbuvir</w:t>
            </w:r>
          </w:p>
        </w:tc>
        <w:tc>
          <w:tcPr>
            <w:tcW w:w="2250" w:type="dxa"/>
            <w:tcBorders>
              <w:top w:val="single" w:sz="4" w:space="0" w:color="auto"/>
              <w:left w:val="single" w:sz="4" w:space="0" w:color="auto"/>
              <w:bottom w:val="single" w:sz="4" w:space="0" w:color="auto"/>
              <w:right w:val="single" w:sz="4" w:space="0" w:color="auto"/>
            </w:tcBorders>
          </w:tcPr>
          <w:p w14:paraId="7BAA6F0C" w14:textId="77777777" w:rsidR="006411C4" w:rsidRPr="00A40E5B" w:rsidRDefault="006411C4" w:rsidP="00EB580D">
            <w:pPr>
              <w:rPr>
                <w:rFonts w:cs="Arial"/>
                <w:szCs w:val="20"/>
              </w:rPr>
            </w:pPr>
            <w:r w:rsidRPr="00A40E5B">
              <w:rPr>
                <w:rFonts w:cs="Arial"/>
                <w:szCs w:val="20"/>
              </w:rPr>
              <w:t>28 tab</w:t>
            </w:r>
            <w:r>
              <w:rPr>
                <w:rFonts w:cs="Arial"/>
                <w:szCs w:val="20"/>
              </w:rPr>
              <w:t>let</w:t>
            </w:r>
            <w:r w:rsidRPr="00A40E5B">
              <w:rPr>
                <w:rFonts w:cs="Arial"/>
                <w:szCs w:val="20"/>
              </w:rPr>
              <w:t>s for 28 days</w:t>
            </w:r>
          </w:p>
        </w:tc>
      </w:tr>
      <w:tr w:rsidR="006411C4" w:rsidRPr="00510428" w14:paraId="3CB547BE"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60E7998A" w14:textId="77777777" w:rsidR="006411C4" w:rsidRPr="00510428" w:rsidRDefault="006411C4" w:rsidP="00EB580D">
            <w:pPr>
              <w:jc w:val="both"/>
              <w:rPr>
                <w:rFonts w:cs="Arial"/>
                <w:szCs w:val="20"/>
              </w:rPr>
            </w:pPr>
            <w:r w:rsidRPr="00510428">
              <w:rPr>
                <w:rFonts w:cs="Arial"/>
                <w:caps/>
                <w:color w:val="000000"/>
                <w:szCs w:val="20"/>
              </w:rPr>
              <w:t>Sovaldi 400 mg</w:t>
            </w:r>
          </w:p>
        </w:tc>
        <w:tc>
          <w:tcPr>
            <w:tcW w:w="4061" w:type="dxa"/>
            <w:tcBorders>
              <w:top w:val="single" w:sz="4" w:space="0" w:color="auto"/>
              <w:left w:val="single" w:sz="4" w:space="0" w:color="auto"/>
              <w:bottom w:val="single" w:sz="4" w:space="0" w:color="auto"/>
              <w:right w:val="single" w:sz="4" w:space="0" w:color="auto"/>
            </w:tcBorders>
            <w:vAlign w:val="bottom"/>
          </w:tcPr>
          <w:p w14:paraId="2FFA27B0" w14:textId="77777777" w:rsidR="006411C4" w:rsidRPr="00510428" w:rsidRDefault="006411C4" w:rsidP="00EB580D">
            <w:pPr>
              <w:rPr>
                <w:rFonts w:cs="Arial"/>
                <w:szCs w:val="20"/>
              </w:rPr>
            </w:pPr>
            <w:r w:rsidRPr="00510428">
              <w:rPr>
                <w:rFonts w:cs="Arial"/>
                <w:caps/>
                <w:color w:val="000000"/>
                <w:szCs w:val="20"/>
              </w:rPr>
              <w:t>sofosbuvir</w:t>
            </w:r>
          </w:p>
        </w:tc>
        <w:tc>
          <w:tcPr>
            <w:tcW w:w="2250" w:type="dxa"/>
            <w:tcBorders>
              <w:top w:val="single" w:sz="4" w:space="0" w:color="auto"/>
              <w:left w:val="single" w:sz="4" w:space="0" w:color="auto"/>
              <w:bottom w:val="single" w:sz="4" w:space="0" w:color="auto"/>
              <w:right w:val="single" w:sz="4" w:space="0" w:color="auto"/>
            </w:tcBorders>
          </w:tcPr>
          <w:p w14:paraId="2AD15BA3" w14:textId="77777777" w:rsidR="006411C4" w:rsidRPr="00510428" w:rsidRDefault="006411C4" w:rsidP="00EB580D">
            <w:pPr>
              <w:rPr>
                <w:rFonts w:cs="Arial"/>
                <w:szCs w:val="20"/>
              </w:rPr>
            </w:pPr>
            <w:r w:rsidRPr="00510428">
              <w:rPr>
                <w:rFonts w:cs="Arial"/>
                <w:szCs w:val="20"/>
              </w:rPr>
              <w:t xml:space="preserve">28 </w:t>
            </w:r>
            <w:r w:rsidRPr="00A40E5B">
              <w:rPr>
                <w:rFonts w:cs="Arial"/>
                <w:szCs w:val="20"/>
              </w:rPr>
              <w:t>tab</w:t>
            </w:r>
            <w:r>
              <w:rPr>
                <w:rFonts w:cs="Arial"/>
                <w:szCs w:val="20"/>
              </w:rPr>
              <w:t>let</w:t>
            </w:r>
            <w:r w:rsidRPr="00A40E5B">
              <w:rPr>
                <w:rFonts w:cs="Arial"/>
                <w:szCs w:val="20"/>
              </w:rPr>
              <w:t xml:space="preserve">s </w:t>
            </w:r>
            <w:r w:rsidRPr="00510428">
              <w:rPr>
                <w:rFonts w:cs="Arial"/>
                <w:szCs w:val="20"/>
              </w:rPr>
              <w:t>for 28 days</w:t>
            </w:r>
          </w:p>
        </w:tc>
      </w:tr>
      <w:tr w:rsidR="006411C4" w:rsidRPr="00510428" w14:paraId="4CBE82A6"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118E2176" w14:textId="77777777" w:rsidR="006411C4" w:rsidRPr="00510428" w:rsidRDefault="006411C4" w:rsidP="00EB580D">
            <w:pPr>
              <w:jc w:val="both"/>
              <w:rPr>
                <w:rFonts w:cs="Arial"/>
                <w:szCs w:val="20"/>
              </w:rPr>
            </w:pPr>
            <w:r w:rsidRPr="00510428">
              <w:rPr>
                <w:rFonts w:cs="Arial"/>
                <w:caps/>
              </w:rPr>
              <w:t>VOSEVI 400-100-100 MG TABLET</w:t>
            </w:r>
          </w:p>
        </w:tc>
        <w:tc>
          <w:tcPr>
            <w:tcW w:w="4061" w:type="dxa"/>
            <w:tcBorders>
              <w:top w:val="single" w:sz="4" w:space="0" w:color="auto"/>
              <w:left w:val="single" w:sz="4" w:space="0" w:color="auto"/>
              <w:bottom w:val="single" w:sz="4" w:space="0" w:color="auto"/>
              <w:right w:val="single" w:sz="4" w:space="0" w:color="auto"/>
            </w:tcBorders>
            <w:vAlign w:val="bottom"/>
          </w:tcPr>
          <w:p w14:paraId="14A672C1" w14:textId="77777777" w:rsidR="006411C4" w:rsidRPr="00510428" w:rsidRDefault="006411C4" w:rsidP="00EB580D">
            <w:pPr>
              <w:rPr>
                <w:rFonts w:cs="Arial"/>
                <w:szCs w:val="20"/>
              </w:rPr>
            </w:pPr>
            <w:r w:rsidRPr="00510428">
              <w:rPr>
                <w:rFonts w:cs="Arial"/>
                <w:caps/>
                <w:color w:val="000000"/>
                <w:szCs w:val="20"/>
              </w:rPr>
              <w:t>Sofosbuvir/velpatas/ voxilaprev</w:t>
            </w:r>
          </w:p>
        </w:tc>
        <w:tc>
          <w:tcPr>
            <w:tcW w:w="2250" w:type="dxa"/>
            <w:tcBorders>
              <w:top w:val="single" w:sz="4" w:space="0" w:color="auto"/>
              <w:left w:val="single" w:sz="4" w:space="0" w:color="auto"/>
              <w:bottom w:val="single" w:sz="4" w:space="0" w:color="auto"/>
              <w:right w:val="single" w:sz="4" w:space="0" w:color="auto"/>
            </w:tcBorders>
          </w:tcPr>
          <w:p w14:paraId="508D0325" w14:textId="77777777" w:rsidR="006411C4" w:rsidRPr="00510428" w:rsidRDefault="006411C4" w:rsidP="00EB580D">
            <w:pPr>
              <w:rPr>
                <w:rFonts w:cs="Arial"/>
                <w:szCs w:val="20"/>
              </w:rPr>
            </w:pPr>
            <w:r w:rsidRPr="00510428">
              <w:rPr>
                <w:rFonts w:cs="Arial"/>
                <w:szCs w:val="20"/>
              </w:rPr>
              <w:t xml:space="preserve">28 </w:t>
            </w:r>
            <w:r w:rsidRPr="00A40E5B">
              <w:rPr>
                <w:rFonts w:cs="Arial"/>
                <w:szCs w:val="20"/>
              </w:rPr>
              <w:t>tab</w:t>
            </w:r>
            <w:r>
              <w:rPr>
                <w:rFonts w:cs="Arial"/>
                <w:szCs w:val="20"/>
              </w:rPr>
              <w:t>let</w:t>
            </w:r>
            <w:r w:rsidRPr="00A40E5B">
              <w:rPr>
                <w:rFonts w:cs="Arial"/>
                <w:szCs w:val="20"/>
              </w:rPr>
              <w:t xml:space="preserve">s </w:t>
            </w:r>
            <w:r w:rsidRPr="00510428">
              <w:rPr>
                <w:rFonts w:cs="Arial"/>
                <w:szCs w:val="20"/>
              </w:rPr>
              <w:t>for 28 days</w:t>
            </w:r>
          </w:p>
        </w:tc>
      </w:tr>
      <w:tr w:rsidR="006411C4" w:rsidRPr="00510428" w14:paraId="0C403FEC" w14:textId="77777777" w:rsidTr="00917EF5">
        <w:trPr>
          <w:jc w:val="center"/>
        </w:trPr>
        <w:tc>
          <w:tcPr>
            <w:tcW w:w="3584" w:type="dxa"/>
            <w:tcBorders>
              <w:top w:val="single" w:sz="4" w:space="0" w:color="auto"/>
              <w:left w:val="single" w:sz="4" w:space="0" w:color="auto"/>
              <w:bottom w:val="single" w:sz="4" w:space="0" w:color="auto"/>
              <w:right w:val="single" w:sz="4" w:space="0" w:color="auto"/>
            </w:tcBorders>
            <w:vAlign w:val="bottom"/>
          </w:tcPr>
          <w:p w14:paraId="43A6FCD6" w14:textId="77777777" w:rsidR="006411C4" w:rsidRPr="00510428" w:rsidRDefault="006411C4" w:rsidP="00EB580D">
            <w:pPr>
              <w:jc w:val="both"/>
              <w:rPr>
                <w:rFonts w:cs="Arial"/>
                <w:szCs w:val="20"/>
              </w:rPr>
            </w:pPr>
            <w:r w:rsidRPr="00510428">
              <w:rPr>
                <w:rFonts w:cs="Arial"/>
                <w:caps/>
                <w:szCs w:val="20"/>
              </w:rPr>
              <w:t>ZEPATIER 50-100 MG TABLET</w:t>
            </w:r>
          </w:p>
        </w:tc>
        <w:tc>
          <w:tcPr>
            <w:tcW w:w="4061" w:type="dxa"/>
            <w:tcBorders>
              <w:top w:val="single" w:sz="4" w:space="0" w:color="auto"/>
              <w:left w:val="single" w:sz="4" w:space="0" w:color="auto"/>
              <w:bottom w:val="single" w:sz="4" w:space="0" w:color="auto"/>
              <w:right w:val="single" w:sz="4" w:space="0" w:color="auto"/>
            </w:tcBorders>
            <w:vAlign w:val="bottom"/>
          </w:tcPr>
          <w:p w14:paraId="783E721C" w14:textId="77777777" w:rsidR="006411C4" w:rsidRPr="00510428" w:rsidRDefault="006411C4" w:rsidP="00EB580D">
            <w:pPr>
              <w:rPr>
                <w:rFonts w:cs="Arial"/>
                <w:szCs w:val="20"/>
              </w:rPr>
            </w:pPr>
            <w:r w:rsidRPr="00510428">
              <w:rPr>
                <w:rFonts w:cs="Arial"/>
                <w:caps/>
                <w:szCs w:val="20"/>
              </w:rPr>
              <w:t>elbasvir/ grazoprevir</w:t>
            </w:r>
          </w:p>
        </w:tc>
        <w:tc>
          <w:tcPr>
            <w:tcW w:w="2250" w:type="dxa"/>
            <w:tcBorders>
              <w:top w:val="single" w:sz="4" w:space="0" w:color="auto"/>
              <w:left w:val="single" w:sz="4" w:space="0" w:color="auto"/>
              <w:bottom w:val="single" w:sz="4" w:space="0" w:color="auto"/>
              <w:right w:val="single" w:sz="4" w:space="0" w:color="auto"/>
            </w:tcBorders>
          </w:tcPr>
          <w:p w14:paraId="0EAC8A3F" w14:textId="77777777" w:rsidR="006411C4" w:rsidRPr="00510428" w:rsidRDefault="006411C4" w:rsidP="00EB580D">
            <w:pPr>
              <w:rPr>
                <w:rFonts w:cs="Arial"/>
                <w:szCs w:val="20"/>
              </w:rPr>
            </w:pPr>
            <w:r w:rsidRPr="00510428">
              <w:rPr>
                <w:rFonts w:cs="Arial"/>
                <w:szCs w:val="20"/>
              </w:rPr>
              <w:t xml:space="preserve">28 </w:t>
            </w:r>
            <w:r w:rsidRPr="00A40E5B">
              <w:rPr>
                <w:rFonts w:cs="Arial"/>
                <w:szCs w:val="20"/>
              </w:rPr>
              <w:t>tab</w:t>
            </w:r>
            <w:r>
              <w:rPr>
                <w:rFonts w:cs="Arial"/>
                <w:szCs w:val="20"/>
              </w:rPr>
              <w:t>let</w:t>
            </w:r>
            <w:r w:rsidRPr="00A40E5B">
              <w:rPr>
                <w:rFonts w:cs="Arial"/>
                <w:szCs w:val="20"/>
              </w:rPr>
              <w:t xml:space="preserve">s </w:t>
            </w:r>
            <w:r w:rsidRPr="00510428">
              <w:rPr>
                <w:rFonts w:cs="Arial"/>
                <w:szCs w:val="20"/>
              </w:rPr>
              <w:t>for 28 days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452C59C0" w:rsidR="00343D6B" w:rsidRPr="00470429" w:rsidRDefault="00343D6B" w:rsidP="00696E3A">
      <w:pPr>
        <w:rPr>
          <w:rFonts w:cs="Arial"/>
          <w:szCs w:val="20"/>
        </w:rPr>
      </w:pPr>
      <w:r w:rsidRPr="00696E3A">
        <w:rPr>
          <w:b/>
          <w:bCs/>
        </w:rPr>
        <w:t>Default Approval Period:</w:t>
      </w:r>
      <w:r w:rsidR="00973BD6">
        <w:t xml:space="preserve"> </w:t>
      </w:r>
      <w:r w:rsidR="00470429">
        <w:rPr>
          <w:rFonts w:cs="Arial"/>
          <w:szCs w:val="20"/>
        </w:rPr>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92CA175" w14:textId="77777777" w:rsidR="00C14E20" w:rsidRPr="00A26D65" w:rsidRDefault="00C14E20" w:rsidP="00C14E20">
      <w:pPr>
        <w:numPr>
          <w:ilvl w:val="0"/>
          <w:numId w:val="19"/>
        </w:numPr>
        <w:rPr>
          <w:rFonts w:cs="Arial"/>
        </w:rPr>
      </w:pPr>
      <w:bookmarkStart w:id="2" w:name="_Hlk34121003"/>
      <w:r w:rsidRPr="00A26D65">
        <w:rPr>
          <w:rFonts w:cs="Arial"/>
        </w:rPr>
        <w:t>Evidence-Based Medicine and Fiscal Analysis: “</w:t>
      </w:r>
      <w:r>
        <w:rPr>
          <w:rFonts w:cs="Arial"/>
        </w:rPr>
        <w:t>Hepatitis C Therapy:  Direct-Acting Antiviral Agents – Therapeutic Class Review</w:t>
      </w:r>
      <w:r w:rsidRPr="00A26D65">
        <w:rPr>
          <w:rFonts w:cs="Arial"/>
        </w:rPr>
        <w:t xml:space="preserve">”, </w:t>
      </w:r>
      <w:r>
        <w:rPr>
          <w:rFonts w:cs="Arial"/>
        </w:rPr>
        <w:t>Conduent Business Services</w:t>
      </w:r>
      <w:r w:rsidRPr="00A26D65">
        <w:rPr>
          <w:rFonts w:cs="Arial"/>
        </w:rPr>
        <w:t xml:space="preserve">, L.L.C., </w:t>
      </w:r>
      <w:r>
        <w:rPr>
          <w:rFonts w:cs="Arial"/>
        </w:rPr>
        <w:t>Richmond, VA</w:t>
      </w:r>
      <w:r w:rsidRPr="00A26D65">
        <w:rPr>
          <w:rFonts w:cs="Arial"/>
        </w:rPr>
        <w:t xml:space="preserve">; </w:t>
      </w:r>
      <w:r>
        <w:rPr>
          <w:rFonts w:cs="Arial"/>
        </w:rPr>
        <w:t>April 2020</w:t>
      </w:r>
      <w:r w:rsidRPr="00A26D65">
        <w:rPr>
          <w:rFonts w:cs="Arial"/>
        </w:rPr>
        <w:t>.</w:t>
      </w:r>
    </w:p>
    <w:p w14:paraId="003ACE6A" w14:textId="783147C0" w:rsidR="00C14E20" w:rsidRDefault="00C14E20" w:rsidP="00C14E20">
      <w:pPr>
        <w:numPr>
          <w:ilvl w:val="0"/>
          <w:numId w:val="19"/>
        </w:numPr>
        <w:rPr>
          <w:rFonts w:cs="Arial"/>
        </w:rPr>
      </w:pPr>
      <w:r w:rsidRPr="00A26D65">
        <w:rPr>
          <w:rFonts w:cs="Arial"/>
        </w:rPr>
        <w:t>Evidence-Based Medicine Analysis:</w:t>
      </w:r>
      <w:r>
        <w:rPr>
          <w:rFonts w:cs="Arial"/>
        </w:rPr>
        <w:t xml:space="preserve"> </w:t>
      </w:r>
      <w:r w:rsidRPr="00A26D65">
        <w:rPr>
          <w:rFonts w:cs="Arial"/>
        </w:rPr>
        <w:t>“Hepatitis C Agents</w:t>
      </w:r>
      <w:r>
        <w:rPr>
          <w:rFonts w:cs="Arial"/>
        </w:rPr>
        <w:t xml:space="preserve"> – Direct-Acting Antiviral Agents (DAAVs)</w:t>
      </w:r>
      <w:r w:rsidRPr="00A26D65">
        <w:rPr>
          <w:rFonts w:cs="Arial"/>
        </w:rPr>
        <w:t>”, UMKC-DIC;</w:t>
      </w:r>
      <w:r>
        <w:rPr>
          <w:rFonts w:cs="Arial"/>
        </w:rPr>
        <w:t xml:space="preserve"> </w:t>
      </w:r>
      <w:r w:rsidR="00416B9F">
        <w:rPr>
          <w:rFonts w:cs="Arial"/>
        </w:rPr>
        <w:t xml:space="preserve">November </w:t>
      </w:r>
      <w:r>
        <w:rPr>
          <w:rFonts w:cs="Arial"/>
        </w:rPr>
        <w:t>202</w:t>
      </w:r>
      <w:r w:rsidR="00116B5B">
        <w:rPr>
          <w:rFonts w:cs="Arial"/>
        </w:rPr>
        <w:t>5</w:t>
      </w:r>
      <w:r>
        <w:rPr>
          <w:rFonts w:cs="Arial"/>
        </w:rPr>
        <w:t>.</w:t>
      </w:r>
    </w:p>
    <w:p w14:paraId="6B0D61DE" w14:textId="77777777" w:rsidR="00C14E20" w:rsidRPr="005E34AD" w:rsidRDefault="00C14E20" w:rsidP="00C14E20">
      <w:pPr>
        <w:pStyle w:val="ListParagraph"/>
        <w:numPr>
          <w:ilvl w:val="0"/>
          <w:numId w:val="19"/>
        </w:numPr>
        <w:rPr>
          <w:rFonts w:cs="Arial"/>
          <w:szCs w:val="20"/>
        </w:rPr>
      </w:pPr>
      <w:r w:rsidRPr="008178D8">
        <w:rPr>
          <w:rFonts w:cs="Arial"/>
          <w:szCs w:val="20"/>
        </w:rPr>
        <w:t xml:space="preserve">Evidence-Based Medicine and Fiscal Analysis: “Therapeutic Class Review: </w:t>
      </w:r>
      <w:r>
        <w:rPr>
          <w:rFonts w:cs="Arial"/>
          <w:szCs w:val="20"/>
        </w:rPr>
        <w:t>Anti-Infectives</w:t>
      </w:r>
      <w:r w:rsidRPr="008178D8">
        <w:rPr>
          <w:rFonts w:cs="Arial"/>
          <w:szCs w:val="20"/>
        </w:rPr>
        <w:t>:</w:t>
      </w:r>
      <w:r>
        <w:rPr>
          <w:rFonts w:cs="Arial"/>
          <w:szCs w:val="20"/>
        </w:rPr>
        <w:t xml:space="preserve"> Hepatitis C Agents, Oral DAAs</w:t>
      </w:r>
      <w:r w:rsidRPr="008178D8">
        <w:rPr>
          <w:rFonts w:cs="Arial"/>
          <w:szCs w:val="20"/>
        </w:rPr>
        <w:t xml:space="preserve">”, Gainwell Technologies; Last updated </w:t>
      </w:r>
      <w:r>
        <w:rPr>
          <w:rFonts w:cs="Arial"/>
          <w:szCs w:val="20"/>
        </w:rPr>
        <w:t>February 5, 2024</w:t>
      </w:r>
      <w:r w:rsidRPr="008178D8">
        <w:rPr>
          <w:rFonts w:cs="Arial"/>
          <w:szCs w:val="20"/>
        </w:rPr>
        <w:t>.</w:t>
      </w:r>
    </w:p>
    <w:p w14:paraId="7B7065AD" w14:textId="767F7DBE" w:rsidR="00C14E20" w:rsidRDefault="00C14E20" w:rsidP="00C14E20">
      <w:pPr>
        <w:numPr>
          <w:ilvl w:val="0"/>
          <w:numId w:val="19"/>
        </w:numPr>
        <w:rPr>
          <w:rFonts w:cs="Arial"/>
          <w:szCs w:val="20"/>
        </w:rPr>
      </w:pPr>
      <w:bookmarkStart w:id="3" w:name="_Hlk17722726"/>
      <w:r w:rsidRPr="00BC5635">
        <w:rPr>
          <w:rFonts w:cs="Arial"/>
          <w:szCs w:val="20"/>
        </w:rPr>
        <w:t>USPDI, Micromedex; 202</w:t>
      </w:r>
      <w:r>
        <w:rPr>
          <w:rFonts w:cs="Arial"/>
          <w:szCs w:val="20"/>
        </w:rPr>
        <w:t>6</w:t>
      </w:r>
      <w:r w:rsidRPr="00BC5635">
        <w:rPr>
          <w:rFonts w:cs="Arial"/>
          <w:szCs w:val="20"/>
        </w:rPr>
        <w:t xml:space="preserve">. </w:t>
      </w:r>
    </w:p>
    <w:p w14:paraId="21F998F5" w14:textId="0E283544" w:rsidR="00C14E20" w:rsidRDefault="00C14E20" w:rsidP="00C14E20">
      <w:pPr>
        <w:numPr>
          <w:ilvl w:val="0"/>
          <w:numId w:val="19"/>
        </w:numPr>
        <w:rPr>
          <w:rFonts w:cs="Arial"/>
          <w:szCs w:val="20"/>
        </w:rPr>
      </w:pPr>
      <w:r w:rsidRPr="00BC5635">
        <w:rPr>
          <w:rFonts w:cs="Arial"/>
          <w:szCs w:val="20"/>
        </w:rPr>
        <w:t xml:space="preserve">Facts and Comparisons </w:t>
      </w:r>
      <w:proofErr w:type="spellStart"/>
      <w:r w:rsidRPr="00BC5635">
        <w:rPr>
          <w:rFonts w:cs="Arial"/>
          <w:szCs w:val="20"/>
        </w:rPr>
        <w:t>eAnswers</w:t>
      </w:r>
      <w:proofErr w:type="spellEnd"/>
      <w:r w:rsidRPr="00BC5635">
        <w:rPr>
          <w:rFonts w:cs="Arial"/>
          <w:szCs w:val="20"/>
        </w:rPr>
        <w:t xml:space="preserve"> (online); 202</w:t>
      </w:r>
      <w:r>
        <w:rPr>
          <w:rFonts w:cs="Arial"/>
          <w:szCs w:val="20"/>
        </w:rPr>
        <w:t>6</w:t>
      </w:r>
      <w:r w:rsidRPr="00BC5635">
        <w:rPr>
          <w:rFonts w:cs="Arial"/>
          <w:szCs w:val="20"/>
        </w:rPr>
        <w:t xml:space="preserve"> Clinical Drug Information, LLC. </w:t>
      </w:r>
    </w:p>
    <w:p w14:paraId="7F6DB343" w14:textId="77777777" w:rsidR="00C14E20" w:rsidRDefault="00C14E20" w:rsidP="00C14E20">
      <w:pPr>
        <w:numPr>
          <w:ilvl w:val="0"/>
          <w:numId w:val="19"/>
        </w:numPr>
        <w:rPr>
          <w:rFonts w:cs="Arial"/>
          <w:szCs w:val="20"/>
        </w:rPr>
      </w:pPr>
      <w:r>
        <w:rPr>
          <w:rFonts w:cs="Arial"/>
          <w:szCs w:val="20"/>
        </w:rPr>
        <w:t xml:space="preserve">Centers for Disease Control and Prevention, accessed March 15, 2025. Updated October 9, 2024. </w:t>
      </w:r>
      <w:r w:rsidRPr="002F16D5">
        <w:rPr>
          <w:rFonts w:cs="Arial"/>
          <w:szCs w:val="20"/>
        </w:rPr>
        <w:t>https://www.cdc.gov/hepatitis-surveillance-2022/hepatitis-c/index.html</w:t>
      </w:r>
    </w:p>
    <w:p w14:paraId="2E82FD63" w14:textId="10681430" w:rsidR="00C14E20" w:rsidRDefault="00C14E20" w:rsidP="00C14E20">
      <w:pPr>
        <w:pStyle w:val="ListParagraph"/>
        <w:numPr>
          <w:ilvl w:val="0"/>
          <w:numId w:val="19"/>
        </w:numPr>
        <w:rPr>
          <w:rFonts w:cs="Arial"/>
        </w:rPr>
      </w:pPr>
      <w:r w:rsidRPr="00551706">
        <w:rPr>
          <w:rFonts w:cs="Arial"/>
        </w:rPr>
        <w:t xml:space="preserve">HCV Guidance: Recommendations for Testing, Managing, and Treating Hepatitis C. American Association for the Study of Liver Diseases and the Infectious Diseases Society of America (accessed </w:t>
      </w:r>
      <w:r>
        <w:rPr>
          <w:rFonts w:cs="Arial"/>
        </w:rPr>
        <w:t>March 3, 202</w:t>
      </w:r>
      <w:r w:rsidR="00AF49DC">
        <w:rPr>
          <w:rFonts w:cs="Arial"/>
        </w:rPr>
        <w:t>6</w:t>
      </w:r>
      <w:r w:rsidRPr="00551706">
        <w:rPr>
          <w:rFonts w:cs="Arial"/>
        </w:rPr>
        <w:t xml:space="preserve">). https://www.hcvguidelines.org/. </w:t>
      </w:r>
      <w:bookmarkEnd w:id="3"/>
    </w:p>
    <w:p w14:paraId="723F961B" w14:textId="77777777" w:rsidR="00C14E20" w:rsidRDefault="00C14E20" w:rsidP="00C14E20">
      <w:pPr>
        <w:pStyle w:val="ListParagraph"/>
        <w:numPr>
          <w:ilvl w:val="0"/>
          <w:numId w:val="19"/>
        </w:numPr>
        <w:rPr>
          <w:rFonts w:cs="Arial"/>
        </w:rPr>
      </w:pPr>
      <w:proofErr w:type="spellStart"/>
      <w:r w:rsidRPr="00171C46">
        <w:rPr>
          <w:rFonts w:cs="Arial"/>
        </w:rPr>
        <w:t>Mavyret</w:t>
      </w:r>
      <w:proofErr w:type="spellEnd"/>
      <w:r w:rsidRPr="000A7F2D">
        <w:rPr>
          <w:rFonts w:cs="Arial"/>
          <w:vertAlign w:val="superscript"/>
        </w:rPr>
        <w:t>®</w:t>
      </w:r>
      <w:r>
        <w:rPr>
          <w:rFonts w:cs="Arial"/>
        </w:rPr>
        <w:t xml:space="preserve"> (</w:t>
      </w:r>
      <w:proofErr w:type="spellStart"/>
      <w:r>
        <w:rPr>
          <w:rFonts w:cs="Arial"/>
        </w:rPr>
        <w:t>glecaprevir</w:t>
      </w:r>
      <w:proofErr w:type="spellEnd"/>
      <w:r>
        <w:rPr>
          <w:rFonts w:cs="Arial"/>
        </w:rPr>
        <w:t xml:space="preserve"> and </w:t>
      </w:r>
      <w:proofErr w:type="spellStart"/>
      <w:r>
        <w:rPr>
          <w:rFonts w:cs="Arial"/>
        </w:rPr>
        <w:t>pibrentasvir</w:t>
      </w:r>
      <w:proofErr w:type="spellEnd"/>
      <w:r>
        <w:rPr>
          <w:rFonts w:cs="Arial"/>
        </w:rPr>
        <w:t>)</w:t>
      </w:r>
      <w:r w:rsidRPr="00171C46">
        <w:rPr>
          <w:rFonts w:cs="Arial"/>
        </w:rPr>
        <w:t xml:space="preserve"> [</w:t>
      </w:r>
      <w:r>
        <w:rPr>
          <w:rFonts w:cs="Arial"/>
        </w:rPr>
        <w:t>package insert</w:t>
      </w:r>
      <w:r w:rsidRPr="00171C46">
        <w:rPr>
          <w:rFonts w:cs="Arial"/>
        </w:rPr>
        <w:t xml:space="preserve">]. North Chicago, IL: AbbVie Inc.; </w:t>
      </w:r>
      <w:r>
        <w:rPr>
          <w:rFonts w:cs="Arial"/>
        </w:rPr>
        <w:t>June 2025</w:t>
      </w:r>
      <w:r w:rsidRPr="00171C46">
        <w:rPr>
          <w:rFonts w:cs="Arial"/>
        </w:rPr>
        <w:t>.</w:t>
      </w:r>
    </w:p>
    <w:p w14:paraId="0C6E6D2B" w14:textId="77777777" w:rsidR="00C14E20" w:rsidRDefault="00C14E20" w:rsidP="00C14E20">
      <w:pPr>
        <w:pStyle w:val="ListParagraph"/>
        <w:numPr>
          <w:ilvl w:val="0"/>
          <w:numId w:val="19"/>
        </w:numPr>
        <w:rPr>
          <w:rFonts w:cs="Arial"/>
        </w:rPr>
      </w:pPr>
      <w:r w:rsidRPr="00F94A9D">
        <w:rPr>
          <w:rFonts w:cs="Arial"/>
        </w:rPr>
        <w:t>Sovaldi</w:t>
      </w:r>
      <w:r w:rsidRPr="00D844BD">
        <w:rPr>
          <w:rFonts w:cs="Arial"/>
          <w:vertAlign w:val="superscript"/>
        </w:rPr>
        <w:t>®</w:t>
      </w:r>
      <w:r>
        <w:rPr>
          <w:rFonts w:cs="Arial"/>
        </w:rPr>
        <w:t xml:space="preserve"> (sofosbuvir)</w:t>
      </w:r>
      <w:r w:rsidRPr="00F94A9D">
        <w:rPr>
          <w:rFonts w:cs="Arial"/>
        </w:rPr>
        <w:t xml:space="preserve"> [package insert]. Foster City, CA: Gilead Sciences Inc.; </w:t>
      </w:r>
      <w:r>
        <w:rPr>
          <w:rFonts w:cs="Arial"/>
        </w:rPr>
        <w:t>December 2024</w:t>
      </w:r>
      <w:r w:rsidRPr="00F94A9D">
        <w:rPr>
          <w:rFonts w:cs="Arial"/>
        </w:rPr>
        <w:t>.</w:t>
      </w:r>
    </w:p>
    <w:p w14:paraId="035EB8B5" w14:textId="77777777" w:rsidR="00C14E20" w:rsidRDefault="00C14E20" w:rsidP="00C14E20">
      <w:pPr>
        <w:pStyle w:val="ListParagraph"/>
        <w:numPr>
          <w:ilvl w:val="0"/>
          <w:numId w:val="19"/>
        </w:numPr>
        <w:rPr>
          <w:rFonts w:cs="Arial"/>
        </w:rPr>
      </w:pPr>
      <w:proofErr w:type="spellStart"/>
      <w:r w:rsidRPr="00F94A9D">
        <w:rPr>
          <w:rFonts w:cs="Arial"/>
        </w:rPr>
        <w:t>Zepatier</w:t>
      </w:r>
      <w:proofErr w:type="spellEnd"/>
      <w:r w:rsidRPr="00B255E7">
        <w:rPr>
          <w:rFonts w:cs="Arial"/>
          <w:vertAlign w:val="superscript"/>
        </w:rPr>
        <w:t>®</w:t>
      </w:r>
      <w:r>
        <w:rPr>
          <w:rFonts w:cs="Arial"/>
        </w:rPr>
        <w:t xml:space="preserve"> (elbasvir and grazoprevir)</w:t>
      </w:r>
      <w:r w:rsidRPr="00F94A9D">
        <w:rPr>
          <w:rFonts w:cs="Arial"/>
        </w:rPr>
        <w:t xml:space="preserve"> [package insert]. </w:t>
      </w:r>
      <w:r>
        <w:rPr>
          <w:rFonts w:cs="Arial"/>
        </w:rPr>
        <w:t>Rahway</w:t>
      </w:r>
      <w:r w:rsidRPr="00F94A9D">
        <w:rPr>
          <w:rFonts w:cs="Arial"/>
        </w:rPr>
        <w:t xml:space="preserve">, NJ: Merck Sharp &amp; Dohme Corp; </w:t>
      </w:r>
      <w:r>
        <w:rPr>
          <w:rFonts w:cs="Arial"/>
        </w:rPr>
        <w:t xml:space="preserve">November </w:t>
      </w:r>
      <w:r w:rsidRPr="00F94A9D">
        <w:rPr>
          <w:rFonts w:cs="Arial"/>
        </w:rPr>
        <w:t>20</w:t>
      </w:r>
      <w:r>
        <w:rPr>
          <w:rFonts w:cs="Arial"/>
        </w:rPr>
        <w:t>23</w:t>
      </w:r>
      <w:r w:rsidRPr="00F94A9D">
        <w:rPr>
          <w:rFonts w:cs="Arial"/>
        </w:rPr>
        <w:t>.</w:t>
      </w:r>
    </w:p>
    <w:p w14:paraId="63E0A010" w14:textId="77777777" w:rsidR="00C14E20" w:rsidRDefault="00C14E20" w:rsidP="00C14E20">
      <w:pPr>
        <w:pStyle w:val="ListParagraph"/>
        <w:numPr>
          <w:ilvl w:val="0"/>
          <w:numId w:val="19"/>
        </w:numPr>
        <w:rPr>
          <w:rFonts w:cs="Arial"/>
        </w:rPr>
      </w:pPr>
      <w:r w:rsidRPr="00F94A9D">
        <w:rPr>
          <w:rFonts w:cs="Arial"/>
        </w:rPr>
        <w:t>Epclusa</w:t>
      </w:r>
      <w:r w:rsidRPr="00644DE6">
        <w:rPr>
          <w:rFonts w:cs="Arial"/>
          <w:vertAlign w:val="superscript"/>
        </w:rPr>
        <w:t>®</w:t>
      </w:r>
      <w:r>
        <w:rPr>
          <w:rFonts w:cs="Arial"/>
        </w:rPr>
        <w:t xml:space="preserve"> (sofosbuvir and </w:t>
      </w:r>
      <w:proofErr w:type="spellStart"/>
      <w:r>
        <w:rPr>
          <w:rFonts w:cs="Arial"/>
        </w:rPr>
        <w:t>velpatasvir</w:t>
      </w:r>
      <w:proofErr w:type="spellEnd"/>
      <w:r>
        <w:rPr>
          <w:rFonts w:cs="Arial"/>
        </w:rPr>
        <w:t>)</w:t>
      </w:r>
      <w:r w:rsidRPr="00F94A9D">
        <w:rPr>
          <w:rFonts w:cs="Arial"/>
        </w:rPr>
        <w:t xml:space="preserve"> [package insert]. Foster City, CA: Gilead Sciences Inc.; </w:t>
      </w:r>
      <w:r>
        <w:rPr>
          <w:rFonts w:cs="Arial"/>
        </w:rPr>
        <w:t xml:space="preserve">April </w:t>
      </w:r>
      <w:r w:rsidRPr="00F94A9D">
        <w:rPr>
          <w:rFonts w:cs="Arial"/>
        </w:rPr>
        <w:t>202</w:t>
      </w:r>
      <w:r>
        <w:rPr>
          <w:rFonts w:cs="Arial"/>
        </w:rPr>
        <w:t>2</w:t>
      </w:r>
      <w:r w:rsidRPr="00F94A9D">
        <w:rPr>
          <w:rFonts w:cs="Arial"/>
        </w:rPr>
        <w:t>.</w:t>
      </w:r>
    </w:p>
    <w:p w14:paraId="3B697B60" w14:textId="77777777" w:rsidR="00C14E20" w:rsidRDefault="00C14E20" w:rsidP="00C14E20">
      <w:pPr>
        <w:pStyle w:val="ListParagraph"/>
        <w:numPr>
          <w:ilvl w:val="0"/>
          <w:numId w:val="19"/>
        </w:numPr>
        <w:rPr>
          <w:rFonts w:cs="Arial"/>
        </w:rPr>
      </w:pPr>
      <w:r w:rsidRPr="00F94A9D">
        <w:rPr>
          <w:rFonts w:cs="Arial"/>
        </w:rPr>
        <w:t>Harvoni</w:t>
      </w:r>
      <w:r w:rsidRPr="00D4441B">
        <w:rPr>
          <w:rFonts w:cs="Arial"/>
          <w:vertAlign w:val="superscript"/>
        </w:rPr>
        <w:t>®</w:t>
      </w:r>
      <w:r>
        <w:rPr>
          <w:rFonts w:cs="Arial"/>
        </w:rPr>
        <w:t xml:space="preserve"> (ledipasvir and sofosbuvir)</w:t>
      </w:r>
      <w:r w:rsidRPr="00F94A9D">
        <w:rPr>
          <w:rFonts w:cs="Arial"/>
        </w:rPr>
        <w:t xml:space="preserve"> [package insert]. Foster City, CA: Gilead Sciences Inc.; </w:t>
      </w:r>
      <w:r>
        <w:rPr>
          <w:rFonts w:cs="Arial"/>
        </w:rPr>
        <w:t>December 2024</w:t>
      </w:r>
      <w:r w:rsidRPr="00F94A9D">
        <w:rPr>
          <w:rFonts w:cs="Arial"/>
        </w:rPr>
        <w:t>.</w:t>
      </w:r>
    </w:p>
    <w:p w14:paraId="58AEEB7D" w14:textId="77777777" w:rsidR="00C14E20" w:rsidRPr="00167CFE" w:rsidRDefault="00C14E20" w:rsidP="00C14E20">
      <w:pPr>
        <w:numPr>
          <w:ilvl w:val="0"/>
          <w:numId w:val="19"/>
        </w:numPr>
        <w:rPr>
          <w:rFonts w:cs="Arial"/>
          <w:bCs/>
          <w:spacing w:val="-3"/>
          <w:szCs w:val="20"/>
        </w:rPr>
      </w:pPr>
      <w:proofErr w:type="spellStart"/>
      <w:r w:rsidRPr="00171EF7">
        <w:rPr>
          <w:rFonts w:cs="Arial"/>
          <w:bCs/>
          <w:spacing w:val="-3"/>
          <w:szCs w:val="20"/>
        </w:rPr>
        <w:t>Vosevi</w:t>
      </w:r>
      <w:proofErr w:type="spellEnd"/>
      <w:r w:rsidRPr="00171EF7">
        <w:rPr>
          <w:rFonts w:cs="Arial"/>
          <w:bCs/>
          <w:spacing w:val="-3"/>
          <w:vertAlign w:val="superscript"/>
        </w:rPr>
        <w:t>®</w:t>
      </w:r>
      <w:r>
        <w:rPr>
          <w:rFonts w:cs="Arial"/>
          <w:bCs/>
          <w:spacing w:val="-3"/>
          <w:szCs w:val="20"/>
        </w:rPr>
        <w:t xml:space="preserve"> (sofosbuvir, </w:t>
      </w:r>
      <w:proofErr w:type="spellStart"/>
      <w:r>
        <w:rPr>
          <w:rFonts w:cs="Arial"/>
          <w:bCs/>
          <w:spacing w:val="-3"/>
          <w:szCs w:val="20"/>
        </w:rPr>
        <w:t>velpatasvir</w:t>
      </w:r>
      <w:proofErr w:type="spellEnd"/>
      <w:r>
        <w:rPr>
          <w:rFonts w:cs="Arial"/>
          <w:bCs/>
          <w:spacing w:val="-3"/>
          <w:szCs w:val="20"/>
        </w:rPr>
        <w:t xml:space="preserve">, and </w:t>
      </w:r>
      <w:proofErr w:type="spellStart"/>
      <w:r>
        <w:rPr>
          <w:rFonts w:cs="Arial"/>
          <w:bCs/>
          <w:spacing w:val="-3"/>
          <w:szCs w:val="20"/>
        </w:rPr>
        <w:t>voxilaprevir</w:t>
      </w:r>
      <w:proofErr w:type="spellEnd"/>
      <w:r>
        <w:rPr>
          <w:rFonts w:cs="Arial"/>
          <w:bCs/>
          <w:spacing w:val="-3"/>
          <w:szCs w:val="20"/>
        </w:rPr>
        <w:t xml:space="preserve">) </w:t>
      </w:r>
      <w:r w:rsidRPr="00F94A9D">
        <w:rPr>
          <w:rFonts w:cs="Arial"/>
        </w:rPr>
        <w:t>[package insert].</w:t>
      </w:r>
      <w:r>
        <w:rPr>
          <w:rFonts w:cs="Arial"/>
        </w:rPr>
        <w:t xml:space="preserve"> Foster City, CA: Gilead Sciences Inc.; November 2019.</w:t>
      </w:r>
    </w:p>
    <w:bookmarkEnd w:id="2"/>
    <w:p w14:paraId="3FA1E7DB" w14:textId="5D7052FD" w:rsidR="00777CA4" w:rsidRDefault="00777CA4" w:rsidP="00C14E20">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305E" w14:textId="77777777" w:rsidR="003A65C7" w:rsidRPr="00C02553" w:rsidRDefault="003A65C7" w:rsidP="00AE77DB">
      <w:r w:rsidRPr="00C02553">
        <w:separator/>
      </w:r>
    </w:p>
  </w:endnote>
  <w:endnote w:type="continuationSeparator" w:id="0">
    <w:p w14:paraId="3839FD6B" w14:textId="77777777" w:rsidR="003A65C7" w:rsidRPr="00C02553" w:rsidRDefault="003A65C7" w:rsidP="00AE77DB">
      <w:r w:rsidRPr="00C02553">
        <w:continuationSeparator/>
      </w:r>
    </w:p>
  </w:endnote>
  <w:endnote w:type="continuationNotice" w:id="1">
    <w:p w14:paraId="75944185" w14:textId="77777777" w:rsidR="003A65C7" w:rsidRPr="00C02553" w:rsidRDefault="003A6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5615" w14:textId="77777777" w:rsidR="003A65C7" w:rsidRPr="00C02553" w:rsidRDefault="003A65C7" w:rsidP="00AE77DB">
      <w:r w:rsidRPr="00C02553">
        <w:separator/>
      </w:r>
    </w:p>
  </w:footnote>
  <w:footnote w:type="continuationSeparator" w:id="0">
    <w:p w14:paraId="1ED400BA" w14:textId="77777777" w:rsidR="003A65C7" w:rsidRPr="00C02553" w:rsidRDefault="003A65C7" w:rsidP="00AE77DB">
      <w:r w:rsidRPr="00C02553">
        <w:continuationSeparator/>
      </w:r>
    </w:p>
  </w:footnote>
  <w:footnote w:type="continuationNotice" w:id="1">
    <w:p w14:paraId="3A08E2E4" w14:textId="77777777" w:rsidR="003A65C7" w:rsidRPr="00C02553" w:rsidRDefault="003A6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94F29">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94F29">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94F29">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4F8592D"/>
    <w:multiLevelType w:val="hybridMultilevel"/>
    <w:tmpl w:val="A6C2E62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C49AD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505296"/>
    <w:multiLevelType w:val="hybridMultilevel"/>
    <w:tmpl w:val="30CC89BC"/>
    <w:lvl w:ilvl="0" w:tplc="465CAE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DF3321F"/>
    <w:multiLevelType w:val="hybridMultilevel"/>
    <w:tmpl w:val="75E0A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8"/>
  </w:num>
  <w:num w:numId="9" w16cid:durableId="1085147965">
    <w:abstractNumId w:val="11"/>
  </w:num>
  <w:num w:numId="10" w16cid:durableId="917518096">
    <w:abstractNumId w:val="10"/>
  </w:num>
  <w:num w:numId="11" w16cid:durableId="1894998475">
    <w:abstractNumId w:val="1"/>
  </w:num>
  <w:num w:numId="12" w16cid:durableId="1418215296">
    <w:abstractNumId w:val="16"/>
  </w:num>
  <w:num w:numId="13" w16cid:durableId="604729665">
    <w:abstractNumId w:val="7"/>
  </w:num>
  <w:num w:numId="14" w16cid:durableId="1805081292">
    <w:abstractNumId w:val="13"/>
  </w:num>
  <w:num w:numId="15" w16cid:durableId="2119182813">
    <w:abstractNumId w:val="15"/>
  </w:num>
  <w:num w:numId="16" w16cid:durableId="1396049166">
    <w:abstractNumId w:val="6"/>
  </w:num>
  <w:num w:numId="17" w16cid:durableId="720325074">
    <w:abstractNumId w:val="18"/>
  </w:num>
  <w:num w:numId="18" w16cid:durableId="208735359">
    <w:abstractNumId w:val="12"/>
  </w:num>
  <w:num w:numId="19" w16cid:durableId="17166127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J1f9wnIZMcjc+wUTfteuZ3AuiX6mPZslEJMKbWbOEGLKPPpboMScKlFEWPFQGyU8ErTyJKigCkIMDlwTIJ6fEA==" w:salt="A+Tp3Cl+R9Xo4IKssclMp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36DD5"/>
    <w:rsid w:val="00040AD3"/>
    <w:rsid w:val="00053807"/>
    <w:rsid w:val="000572E5"/>
    <w:rsid w:val="00057F84"/>
    <w:rsid w:val="00061541"/>
    <w:rsid w:val="00062907"/>
    <w:rsid w:val="00064162"/>
    <w:rsid w:val="00065C22"/>
    <w:rsid w:val="00074464"/>
    <w:rsid w:val="00076030"/>
    <w:rsid w:val="00082590"/>
    <w:rsid w:val="00082875"/>
    <w:rsid w:val="000913C3"/>
    <w:rsid w:val="000953B9"/>
    <w:rsid w:val="000A413B"/>
    <w:rsid w:val="000A6279"/>
    <w:rsid w:val="000B496B"/>
    <w:rsid w:val="000C3940"/>
    <w:rsid w:val="000C5992"/>
    <w:rsid w:val="000E1479"/>
    <w:rsid w:val="000E231E"/>
    <w:rsid w:val="000E247D"/>
    <w:rsid w:val="000E6B14"/>
    <w:rsid w:val="000E70D8"/>
    <w:rsid w:val="00102D23"/>
    <w:rsid w:val="001062F6"/>
    <w:rsid w:val="00112FC7"/>
    <w:rsid w:val="00116B5B"/>
    <w:rsid w:val="00125F5F"/>
    <w:rsid w:val="00126951"/>
    <w:rsid w:val="00126B60"/>
    <w:rsid w:val="00127EF6"/>
    <w:rsid w:val="001310AD"/>
    <w:rsid w:val="001314A5"/>
    <w:rsid w:val="00132C7F"/>
    <w:rsid w:val="00144DBE"/>
    <w:rsid w:val="00152C8B"/>
    <w:rsid w:val="00155A7E"/>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20C"/>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4F32"/>
    <w:rsid w:val="002C2C41"/>
    <w:rsid w:val="002C62E7"/>
    <w:rsid w:val="002D4EA6"/>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47C7"/>
    <w:rsid w:val="00355515"/>
    <w:rsid w:val="003608B5"/>
    <w:rsid w:val="003613AF"/>
    <w:rsid w:val="003864E6"/>
    <w:rsid w:val="003878C1"/>
    <w:rsid w:val="00396C0B"/>
    <w:rsid w:val="003A630F"/>
    <w:rsid w:val="003A65C7"/>
    <w:rsid w:val="003B3958"/>
    <w:rsid w:val="003B4820"/>
    <w:rsid w:val="003B5F4B"/>
    <w:rsid w:val="003B682F"/>
    <w:rsid w:val="003C53FC"/>
    <w:rsid w:val="003C7013"/>
    <w:rsid w:val="003D4F23"/>
    <w:rsid w:val="003D641B"/>
    <w:rsid w:val="003F227C"/>
    <w:rsid w:val="004023CC"/>
    <w:rsid w:val="00407564"/>
    <w:rsid w:val="00411152"/>
    <w:rsid w:val="004156AA"/>
    <w:rsid w:val="00416B9F"/>
    <w:rsid w:val="004253A1"/>
    <w:rsid w:val="004313B6"/>
    <w:rsid w:val="00433339"/>
    <w:rsid w:val="004414DE"/>
    <w:rsid w:val="00446BBC"/>
    <w:rsid w:val="004472C0"/>
    <w:rsid w:val="00450705"/>
    <w:rsid w:val="00451928"/>
    <w:rsid w:val="0046618B"/>
    <w:rsid w:val="00470429"/>
    <w:rsid w:val="0048608C"/>
    <w:rsid w:val="00496E57"/>
    <w:rsid w:val="004A1A62"/>
    <w:rsid w:val="004B3E10"/>
    <w:rsid w:val="004C0F5D"/>
    <w:rsid w:val="004C375A"/>
    <w:rsid w:val="004C4954"/>
    <w:rsid w:val="004C5767"/>
    <w:rsid w:val="004D5322"/>
    <w:rsid w:val="004D78B0"/>
    <w:rsid w:val="004E611F"/>
    <w:rsid w:val="004E6F0E"/>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39A3"/>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1C4"/>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67B40"/>
    <w:rsid w:val="0077070E"/>
    <w:rsid w:val="0077296A"/>
    <w:rsid w:val="00777CA4"/>
    <w:rsid w:val="00792D85"/>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16190"/>
    <w:rsid w:val="00832211"/>
    <w:rsid w:val="008325F4"/>
    <w:rsid w:val="00832AC8"/>
    <w:rsid w:val="00844981"/>
    <w:rsid w:val="00846FA4"/>
    <w:rsid w:val="008524BA"/>
    <w:rsid w:val="00852B74"/>
    <w:rsid w:val="00856928"/>
    <w:rsid w:val="00865538"/>
    <w:rsid w:val="00870875"/>
    <w:rsid w:val="0088225C"/>
    <w:rsid w:val="00882272"/>
    <w:rsid w:val="00884026"/>
    <w:rsid w:val="00884C78"/>
    <w:rsid w:val="008859E1"/>
    <w:rsid w:val="00896264"/>
    <w:rsid w:val="008A5D88"/>
    <w:rsid w:val="008B2851"/>
    <w:rsid w:val="008C000E"/>
    <w:rsid w:val="008D0F2F"/>
    <w:rsid w:val="008D237F"/>
    <w:rsid w:val="008D6B05"/>
    <w:rsid w:val="008E7D2D"/>
    <w:rsid w:val="008F00E8"/>
    <w:rsid w:val="008F27B7"/>
    <w:rsid w:val="008F44C0"/>
    <w:rsid w:val="008F5999"/>
    <w:rsid w:val="00903AD6"/>
    <w:rsid w:val="00904D7A"/>
    <w:rsid w:val="00915332"/>
    <w:rsid w:val="00917EF5"/>
    <w:rsid w:val="009204BB"/>
    <w:rsid w:val="00923B99"/>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F645F"/>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66"/>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30B8"/>
    <w:rsid w:val="00AF49DC"/>
    <w:rsid w:val="00AF5211"/>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14E20"/>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6B45"/>
    <w:rsid w:val="00E354AA"/>
    <w:rsid w:val="00E43D54"/>
    <w:rsid w:val="00E442FB"/>
    <w:rsid w:val="00E529DB"/>
    <w:rsid w:val="00E53A5E"/>
    <w:rsid w:val="00E6466A"/>
    <w:rsid w:val="00E72221"/>
    <w:rsid w:val="00E83428"/>
    <w:rsid w:val="00E84C58"/>
    <w:rsid w:val="00E873A5"/>
    <w:rsid w:val="00E90D11"/>
    <w:rsid w:val="00E915E5"/>
    <w:rsid w:val="00E94F29"/>
    <w:rsid w:val="00EB0367"/>
    <w:rsid w:val="00EB4FB9"/>
    <w:rsid w:val="00EB5BC8"/>
    <w:rsid w:val="00EC2738"/>
    <w:rsid w:val="00ED0709"/>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67FCB"/>
    <w:rsid w:val="00F730BA"/>
    <w:rsid w:val="00F903BE"/>
    <w:rsid w:val="00F92D9B"/>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3864E6"/>
    <w:rPr>
      <w:sz w:val="16"/>
      <w:szCs w:val="16"/>
    </w:rPr>
  </w:style>
  <w:style w:type="paragraph" w:styleId="CommentSubject">
    <w:name w:val="annotation subject"/>
    <w:basedOn w:val="CommentText"/>
    <w:next w:val="CommentText"/>
    <w:link w:val="CommentSubjectChar"/>
    <w:uiPriority w:val="99"/>
    <w:semiHidden/>
    <w:unhideWhenUsed/>
    <w:rsid w:val="003864E6"/>
    <w:rPr>
      <w:b/>
      <w:bCs/>
    </w:rPr>
  </w:style>
  <w:style w:type="character" w:customStyle="1" w:styleId="CommentTextChar">
    <w:name w:val="Comment Text Char"/>
    <w:basedOn w:val="DefaultParagraphFont"/>
    <w:link w:val="CommentText"/>
    <w:semiHidden/>
    <w:rsid w:val="003864E6"/>
    <w:rPr>
      <w:rFonts w:ascii="Arial" w:hAnsi="Arial"/>
    </w:rPr>
  </w:style>
  <w:style w:type="character" w:customStyle="1" w:styleId="CommentSubjectChar">
    <w:name w:val="Comment Subject Char"/>
    <w:basedOn w:val="CommentTextChar"/>
    <w:link w:val="CommentSubject"/>
    <w:uiPriority w:val="99"/>
    <w:semiHidden/>
    <w:rsid w:val="003864E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E1295791-5C3E-4BF3-84D8-58134B03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http://schemas.openxmlformats.org/package/2006/metadata/core-properties"/>
    <ds:schemaRef ds:uri="http://schemas.microsoft.com/office/2006/documentManagement/types"/>
    <ds:schemaRef ds:uri="http://schemas.microsoft.com/office/infopath/2007/PartnerControls"/>
    <ds:schemaRef ds:uri="f5eefb00-5952-4f7e-8cf8-96f81cfadd01"/>
    <ds:schemaRef ds:uri="http://purl.org/dc/elements/1.1/"/>
    <ds:schemaRef ds:uri="http://schemas.microsoft.com/office/2006/metadata/properties"/>
    <ds:schemaRef ds:uri="http://schemas.microsoft.com/sharepoint/v3"/>
    <ds:schemaRef ds:uri="http://purl.org/dc/terms/"/>
    <ds:schemaRef ds:uri="aba01ddc-ae9a-4c9e-819c-7140b4239c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1166</Words>
  <Characters>6741</Characters>
  <Application>Microsoft Office Word</Application>
  <DocSecurity>10</DocSecurity>
  <Lines>56</Lines>
  <Paragraphs>15</Paragraphs>
  <ScaleCrop>false</ScaleCrop>
  <HeadingPairs>
    <vt:vector size="2" baseType="variant">
      <vt:variant>
        <vt:lpstr>Title</vt:lpstr>
      </vt:variant>
      <vt:variant>
        <vt:i4>1</vt:i4>
      </vt:variant>
    </vt:vector>
  </HeadingPairs>
  <TitlesOfParts>
    <vt:vector size="1" baseType="lpstr">
      <vt:lpstr>Hepatitis C Agents PDL</vt:lpstr>
    </vt:vector>
  </TitlesOfParts>
  <Company>DSS</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C Agents PDL</dc:title>
  <dc:creator>DMS</dc:creator>
  <cp:lastModifiedBy>Heriford, Katherine</cp:lastModifiedBy>
  <cp:revision>47</cp:revision>
  <cp:lastPrinted>2018-10-31T20:17:00Z</cp:lastPrinted>
  <dcterms:created xsi:type="dcterms:W3CDTF">2025-09-19T16:48:00Z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