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1582346" w:rsidR="004C5767" w:rsidRPr="006560B3" w:rsidRDefault="004C5767" w:rsidP="00D27533">
      <w:pPr>
        <w:pStyle w:val="tbody"/>
        <w:rPr>
          <w:b w:val="0"/>
        </w:rPr>
      </w:pPr>
      <w:r w:rsidRPr="00C02553">
        <w:t>Drug/Drug Class:</w:t>
      </w:r>
      <w:r w:rsidR="006560B3">
        <w:rPr>
          <w:b w:val="0"/>
        </w:rPr>
        <w:t xml:space="preserve"> </w:t>
      </w:r>
      <w:r w:rsidR="00DE0AE9" w:rsidRPr="00DE0AE9">
        <w:rPr>
          <w:b w:val="0"/>
        </w:rPr>
        <w:t>Alpelisib Clinical Edit</w:t>
      </w:r>
    </w:p>
    <w:p w14:paraId="7AD7FFCE" w14:textId="73AA1F1A" w:rsidR="004C5767" w:rsidRPr="006560B3" w:rsidRDefault="004C5767" w:rsidP="00D27533">
      <w:pPr>
        <w:pStyle w:val="tbody"/>
        <w:rPr>
          <w:b w:val="0"/>
        </w:rPr>
      </w:pPr>
      <w:r w:rsidRPr="00C02553">
        <w:t>First Implementation Date:</w:t>
      </w:r>
      <w:r w:rsidR="006560B3">
        <w:rPr>
          <w:b w:val="0"/>
        </w:rPr>
        <w:t xml:space="preserve"> </w:t>
      </w:r>
      <w:r w:rsidR="0004533A" w:rsidRPr="0004533A">
        <w:rPr>
          <w:b w:val="0"/>
        </w:rPr>
        <w:t>January 12, 2023</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9A5A3D0" w:rsidR="004C5767" w:rsidRPr="00D27533" w:rsidRDefault="004C5767" w:rsidP="00D27533">
      <w:pPr>
        <w:pStyle w:val="tbody"/>
        <w:rPr>
          <w:b w:val="0"/>
          <w:bCs/>
          <w:spacing w:val="-3"/>
        </w:rPr>
      </w:pPr>
      <w:r w:rsidRPr="007773E8">
        <w:t xml:space="preserve">Criteria Status: </w:t>
      </w:r>
      <w:r w:rsidR="00915FEB" w:rsidRPr="00DD778E">
        <w:rPr>
          <w:b w:val="0"/>
          <w:bCs/>
          <w:spacing w:val="-3"/>
        </w:rPr>
        <w:t>Existing Criteri</w:t>
      </w:r>
      <w:r w:rsidR="00DD778E" w:rsidRPr="00DD778E">
        <w:rPr>
          <w:b w:val="0"/>
          <w:bCs/>
          <w:spacing w:val="-3"/>
        </w:rPr>
        <w:t>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EFD4C4D" w:rsidR="00D47996" w:rsidRDefault="79EEA449" w:rsidP="00696E3A">
      <w:r>
        <w:t>Ensure appropriate utilization and control of</w:t>
      </w:r>
      <w:r w:rsidR="00D47996">
        <w:t xml:space="preserve"> </w:t>
      </w:r>
      <w:r w:rsidR="004A4511">
        <w:rPr>
          <w:rFonts w:cs="Arial"/>
          <w:spacing w:val="-3"/>
        </w:rPr>
        <w:t>alpelisib agents.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0CC3C4D" w14:textId="46081061" w:rsidR="00AE47DA" w:rsidRDefault="00AE47DA" w:rsidP="00AE47DA">
      <w:pPr>
        <w:pStyle w:val="Header"/>
        <w:rPr>
          <w:rFonts w:cs="Arial"/>
          <w:spacing w:val="-3"/>
          <w:sz w:val="20"/>
        </w:rPr>
      </w:pPr>
      <w:r>
        <w:rPr>
          <w:rFonts w:cs="Arial"/>
          <w:spacing w:val="-3"/>
          <w:sz w:val="20"/>
        </w:rPr>
        <w:t>Alpelisib is a kinase inhibitor targeting phosphatidylinositol-3-kinase (PI3K) with inhibitory activity predomi</w:t>
      </w:r>
      <w:r w:rsidRPr="006F57DB">
        <w:rPr>
          <w:rFonts w:cs="Arial"/>
          <w:spacing w:val="-3"/>
          <w:sz w:val="20"/>
        </w:rPr>
        <w:t>nantly against PI3K</w:t>
      </w:r>
      <w:r w:rsidRPr="006F57DB">
        <w:rPr>
          <w:sz w:val="20"/>
        </w:rPr>
        <w:t>α</w:t>
      </w:r>
      <w:r w:rsidRPr="006F57DB">
        <w:rPr>
          <w:rFonts w:cs="Arial"/>
          <w:spacing w:val="-3"/>
          <w:sz w:val="20"/>
        </w:rPr>
        <w:t xml:space="preserve">. Pathogenic variants in the gene encoding the catalytic </w:t>
      </w:r>
      <w:r w:rsidRPr="006F57DB">
        <w:rPr>
          <w:sz w:val="20"/>
        </w:rPr>
        <w:t>α-subunit</w:t>
      </w:r>
      <w:r w:rsidRPr="006F57DB">
        <w:rPr>
          <w:rFonts w:cs="Arial"/>
          <w:spacing w:val="-3"/>
          <w:sz w:val="20"/>
        </w:rPr>
        <w:t xml:space="preserve"> </w:t>
      </w:r>
      <w:r>
        <w:rPr>
          <w:rFonts w:cs="Arial"/>
          <w:spacing w:val="-3"/>
          <w:sz w:val="20"/>
        </w:rPr>
        <w:t xml:space="preserve">of PI3K lead to activation of </w:t>
      </w:r>
      <w:r w:rsidRPr="006F57DB">
        <w:rPr>
          <w:rFonts w:cs="Arial"/>
          <w:spacing w:val="-3"/>
          <w:sz w:val="20"/>
        </w:rPr>
        <w:t>PI3K</w:t>
      </w:r>
      <w:r w:rsidRPr="006F57DB">
        <w:rPr>
          <w:sz w:val="20"/>
        </w:rPr>
        <w:t>α</w:t>
      </w:r>
      <w:r w:rsidRPr="006F57DB">
        <w:rPr>
          <w:rFonts w:cs="Arial"/>
          <w:spacing w:val="-3"/>
          <w:sz w:val="20"/>
        </w:rPr>
        <w:t xml:space="preserve"> </w:t>
      </w:r>
      <w:r>
        <w:rPr>
          <w:rFonts w:cs="Arial"/>
          <w:spacing w:val="-3"/>
          <w:sz w:val="20"/>
        </w:rPr>
        <w:t>and Akt-signaling, cellular transformation and the generation of tumors in in vitro and in vivo models. Piqray</w:t>
      </w:r>
      <w:r w:rsidRPr="006F57DB">
        <w:rPr>
          <w:rFonts w:cs="Arial"/>
          <w:spacing w:val="-3"/>
          <w:sz w:val="20"/>
          <w:vertAlign w:val="superscript"/>
        </w:rPr>
        <w:t>®</w:t>
      </w:r>
      <w:r>
        <w:rPr>
          <w:rFonts w:cs="Arial"/>
          <w:spacing w:val="-3"/>
          <w:sz w:val="20"/>
        </w:rPr>
        <w:t xml:space="preserve"> (alpelisib) was FDA-approved in 2019 in combination with fulvestrant for the treatment of postmenopausal women, and men, with hormone receptor (HR)-positive, human epidermal growth factor receptor 2 (HER2)-negative, PIK3CA-mutated, advanced or metastatic breast cancer. </w:t>
      </w:r>
      <w:r w:rsidRPr="006F57DB">
        <w:rPr>
          <w:rFonts w:cs="Arial"/>
          <w:spacing w:val="-3"/>
          <w:sz w:val="20"/>
        </w:rPr>
        <w:t>Vijoice</w:t>
      </w:r>
      <w:r w:rsidRPr="006F57DB">
        <w:rPr>
          <w:rFonts w:cs="Arial"/>
          <w:spacing w:val="-3"/>
          <w:sz w:val="20"/>
          <w:vertAlign w:val="superscript"/>
        </w:rPr>
        <w:t>®</w:t>
      </w:r>
      <w:r w:rsidRPr="006F57DB">
        <w:rPr>
          <w:rFonts w:cs="Arial"/>
          <w:spacing w:val="-3"/>
          <w:sz w:val="20"/>
        </w:rPr>
        <w:t xml:space="preserve"> (alpelisib) was FDA-approved on April 5, 2022, for the treatment of adult and pediatric patients 2 years of age and older with severe manifestations of </w:t>
      </w:r>
      <w:r w:rsidRPr="006F57DB">
        <w:rPr>
          <w:rFonts w:cs="Arial"/>
          <w:i/>
          <w:iCs/>
          <w:spacing w:val="-3"/>
          <w:sz w:val="20"/>
        </w:rPr>
        <w:t>PIK3CA</w:t>
      </w:r>
      <w:r w:rsidRPr="006F57DB">
        <w:rPr>
          <w:rFonts w:cs="Arial"/>
          <w:spacing w:val="-3"/>
          <w:sz w:val="20"/>
        </w:rPr>
        <w:t>-Related Overgrowth Spectrum (PROS) who require systemic therapy</w:t>
      </w:r>
      <w:r>
        <w:rPr>
          <w:rFonts w:cs="Arial"/>
          <w:spacing w:val="-3"/>
          <w:sz w:val="20"/>
        </w:rPr>
        <w:t xml:space="preserve">. PROS is a spectrum of rare disorders involving variants in the </w:t>
      </w:r>
      <w:r w:rsidRPr="00492AE5">
        <w:rPr>
          <w:rFonts w:cs="Arial"/>
          <w:i/>
          <w:iCs/>
          <w:spacing w:val="-3"/>
          <w:sz w:val="20"/>
        </w:rPr>
        <w:t>PIK3CA</w:t>
      </w:r>
      <w:r>
        <w:rPr>
          <w:rFonts w:cs="Arial"/>
          <w:spacing w:val="-3"/>
          <w:sz w:val="20"/>
        </w:rPr>
        <w:t xml:space="preserve"> gene causing overgrowth in various parts of the body. These variants result in an abnormally active phosphatidylinositol-3-kinase (PI3K) enzyme, causing affected cells to grow and divide more than they should. Manifestations include abnormal bone, soft tissue, and blood vessel growth in these affected areas. PROS has an estimated prevalence of 14 people per million. Treatment of PROS includes symptom management and treatment of complications such as bleeding, clotting, pain, and functional impairment. Vijoice is the first FDA-approved medication for PROS. Piqray and Vijoice both contain alpelisib as the active ingredient and differ solely in how they are supplied. </w:t>
      </w:r>
    </w:p>
    <w:p w14:paraId="063200B0" w14:textId="77777777" w:rsidR="00AE47DA" w:rsidRDefault="00AE47DA" w:rsidP="00AE47DA">
      <w:pPr>
        <w:pStyle w:val="Header"/>
        <w:rPr>
          <w:rFonts w:cs="Arial"/>
          <w:spacing w:val="-3"/>
          <w:sz w:val="20"/>
        </w:rPr>
      </w:pPr>
    </w:p>
    <w:p w14:paraId="6E51C725" w14:textId="47510195" w:rsidR="00351E4B" w:rsidRDefault="00AE47DA" w:rsidP="00AE47DA">
      <w:pPr>
        <w:rPr>
          <w:rFonts w:cs="Arial"/>
          <w:spacing w:val="-3"/>
        </w:rPr>
      </w:pPr>
      <w:r>
        <w:rPr>
          <w:rFonts w:cs="Arial"/>
          <w:spacing w:val="-3"/>
        </w:rPr>
        <w:t>Due to the high cost, possible adverse events, and specific approved indications, MO HealthNet will impose clinical criteria to ensure appropriate utilization of alpelisib agents.</w:t>
      </w:r>
    </w:p>
    <w:p w14:paraId="6F9EC9F7" w14:textId="77777777" w:rsidR="00AE47DA" w:rsidRDefault="00AE47DA" w:rsidP="00AE47DA"/>
    <w:p w14:paraId="5B5260CF" w14:textId="673321DF" w:rsidR="003D4704" w:rsidRPr="00AD17B7" w:rsidRDefault="003D4704" w:rsidP="003D4704">
      <w:r>
        <w:rPr>
          <w:b/>
          <w:bCs/>
        </w:rPr>
        <w:t xml:space="preserve">Program-Specific Information: </w:t>
      </w:r>
      <w:r>
        <w:t>Dat</w:t>
      </w:r>
      <w:r w:rsidR="00ED760F">
        <w:t>e</w:t>
      </w:r>
      <w:r>
        <w:t xml:space="preserve"> Range FFS </w:t>
      </w:r>
      <w:r w:rsidR="004F7FEA">
        <w:t>7</w:t>
      </w:r>
      <w:r>
        <w:t xml:space="preserve">-1-2024 to </w:t>
      </w:r>
      <w:r w:rsidR="004F7FEA">
        <w:t>6</w:t>
      </w:r>
      <w:r>
        <w:t>-30-2025</w:t>
      </w:r>
    </w:p>
    <w:tbl>
      <w:tblPr>
        <w:tblW w:w="7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1402"/>
        <w:gridCol w:w="2355"/>
      </w:tblGrid>
      <w:tr w:rsidR="00A02DA5" w:rsidRPr="00902CF9" w14:paraId="7E639B47" w14:textId="11AFAB32" w:rsidTr="00461BFE">
        <w:trPr>
          <w:trHeight w:val="258"/>
          <w:jc w:val="center"/>
        </w:trPr>
        <w:tc>
          <w:tcPr>
            <w:tcW w:w="3595" w:type="dxa"/>
            <w:shd w:val="clear" w:color="auto" w:fill="FABF8F" w:themeFill="accent6" w:themeFillTint="99"/>
            <w:vAlign w:val="center"/>
          </w:tcPr>
          <w:p w14:paraId="0258BA66" w14:textId="08D081F4" w:rsidR="00A02DA5" w:rsidRPr="00902CF9" w:rsidRDefault="00A02DA5" w:rsidP="00C064B9">
            <w:pPr>
              <w:jc w:val="center"/>
              <w:rPr>
                <w:rFonts w:cs="Arial"/>
                <w:b/>
                <w:bCs/>
                <w:spacing w:val="-3"/>
                <w:szCs w:val="20"/>
              </w:rPr>
            </w:pPr>
            <w:r w:rsidRPr="0068388E">
              <w:rPr>
                <w:rFonts w:cs="Arial"/>
                <w:b/>
                <w:bCs/>
                <w:spacing w:val="-3"/>
                <w:szCs w:val="20"/>
              </w:rPr>
              <w:t>Drug</w:t>
            </w:r>
          </w:p>
        </w:tc>
        <w:tc>
          <w:tcPr>
            <w:tcW w:w="1402" w:type="dxa"/>
            <w:shd w:val="clear" w:color="auto" w:fill="FABF8F" w:themeFill="accent6" w:themeFillTint="99"/>
            <w:vAlign w:val="center"/>
          </w:tcPr>
          <w:p w14:paraId="37F54882" w14:textId="525A1C86" w:rsidR="00A02DA5" w:rsidRPr="00902CF9" w:rsidRDefault="00A02DA5" w:rsidP="00C064B9">
            <w:pPr>
              <w:jc w:val="center"/>
              <w:rPr>
                <w:rFonts w:cs="Arial"/>
                <w:b/>
                <w:bCs/>
                <w:spacing w:val="-3"/>
                <w:szCs w:val="20"/>
              </w:rPr>
            </w:pPr>
            <w:r w:rsidRPr="0068388E">
              <w:rPr>
                <w:rFonts w:cs="Arial"/>
                <w:b/>
                <w:bCs/>
                <w:spacing w:val="-3"/>
                <w:szCs w:val="20"/>
              </w:rPr>
              <w:t>Claims</w:t>
            </w:r>
          </w:p>
        </w:tc>
        <w:tc>
          <w:tcPr>
            <w:tcW w:w="2355" w:type="dxa"/>
            <w:shd w:val="clear" w:color="auto" w:fill="FABF8F" w:themeFill="accent6" w:themeFillTint="99"/>
            <w:vAlign w:val="center"/>
          </w:tcPr>
          <w:p w14:paraId="57EB713A" w14:textId="6B6182CC" w:rsidR="00A02DA5" w:rsidRPr="00902CF9" w:rsidRDefault="00A02DA5" w:rsidP="00C064B9">
            <w:pPr>
              <w:jc w:val="center"/>
              <w:rPr>
                <w:rFonts w:cs="Arial"/>
                <w:b/>
                <w:bCs/>
                <w:spacing w:val="-3"/>
                <w:szCs w:val="20"/>
              </w:rPr>
            </w:pPr>
            <w:r w:rsidRPr="0068388E">
              <w:rPr>
                <w:rFonts w:cs="Arial"/>
                <w:b/>
                <w:spacing w:val="-3"/>
                <w:szCs w:val="20"/>
              </w:rPr>
              <w:t>Spend</w:t>
            </w:r>
          </w:p>
        </w:tc>
      </w:tr>
      <w:tr w:rsidR="00A02DA5" w:rsidRPr="00902CF9" w14:paraId="29C2C6B5" w14:textId="3BDCEDEA" w:rsidTr="00461BFE">
        <w:trPr>
          <w:trHeight w:val="258"/>
          <w:jc w:val="center"/>
        </w:trPr>
        <w:tc>
          <w:tcPr>
            <w:tcW w:w="3595" w:type="dxa"/>
            <w:vAlign w:val="bottom"/>
          </w:tcPr>
          <w:p w14:paraId="4E48F17F" w14:textId="24CEDC88" w:rsidR="00A02DA5" w:rsidRPr="00902CF9" w:rsidRDefault="00A02DA5" w:rsidP="00CB689E">
            <w:pPr>
              <w:rPr>
                <w:rFonts w:cs="Arial"/>
                <w:szCs w:val="20"/>
              </w:rPr>
            </w:pPr>
            <w:r w:rsidRPr="00640514">
              <w:rPr>
                <w:rFonts w:cs="Arial"/>
                <w:szCs w:val="20"/>
              </w:rPr>
              <w:t>PIQRAY 200 MG DOSE PACK</w:t>
            </w:r>
          </w:p>
        </w:tc>
        <w:tc>
          <w:tcPr>
            <w:tcW w:w="1402" w:type="dxa"/>
            <w:vAlign w:val="bottom"/>
          </w:tcPr>
          <w:p w14:paraId="52453425" w14:textId="2EEF01EF" w:rsidR="00A02DA5" w:rsidRPr="00902CF9" w:rsidRDefault="00A02DA5" w:rsidP="00CB689E">
            <w:pPr>
              <w:jc w:val="center"/>
              <w:rPr>
                <w:rFonts w:cs="Arial"/>
                <w:szCs w:val="20"/>
              </w:rPr>
            </w:pPr>
            <w:r w:rsidRPr="00640514">
              <w:rPr>
                <w:rFonts w:cs="Arial"/>
                <w:bCs/>
                <w:spacing w:val="-3"/>
                <w:szCs w:val="20"/>
              </w:rPr>
              <w:t>-</w:t>
            </w:r>
          </w:p>
        </w:tc>
        <w:tc>
          <w:tcPr>
            <w:tcW w:w="2355" w:type="dxa"/>
            <w:vAlign w:val="bottom"/>
          </w:tcPr>
          <w:p w14:paraId="43EE586B" w14:textId="2229EDF7" w:rsidR="00A02DA5" w:rsidRPr="00902CF9" w:rsidRDefault="00A02DA5" w:rsidP="00CB689E">
            <w:pPr>
              <w:jc w:val="center"/>
              <w:rPr>
                <w:rFonts w:cs="Arial"/>
                <w:szCs w:val="20"/>
              </w:rPr>
            </w:pPr>
            <w:r w:rsidRPr="00640514">
              <w:rPr>
                <w:rFonts w:cs="Arial"/>
                <w:bCs/>
                <w:spacing w:val="-3"/>
                <w:szCs w:val="20"/>
              </w:rPr>
              <w:t>-</w:t>
            </w:r>
          </w:p>
        </w:tc>
      </w:tr>
      <w:tr w:rsidR="00A02DA5" w:rsidRPr="00902CF9" w14:paraId="0A1EF85E" w14:textId="55E4001F" w:rsidTr="00461BFE">
        <w:trPr>
          <w:trHeight w:val="258"/>
          <w:jc w:val="center"/>
        </w:trPr>
        <w:tc>
          <w:tcPr>
            <w:tcW w:w="3595" w:type="dxa"/>
            <w:vAlign w:val="bottom"/>
          </w:tcPr>
          <w:p w14:paraId="77B43C05" w14:textId="6D5F4D40" w:rsidR="00A02DA5" w:rsidRPr="00902CF9" w:rsidRDefault="00A02DA5" w:rsidP="00CB689E">
            <w:pPr>
              <w:rPr>
                <w:rFonts w:cs="Arial"/>
                <w:szCs w:val="20"/>
              </w:rPr>
            </w:pPr>
            <w:r w:rsidRPr="00640514">
              <w:rPr>
                <w:rFonts w:cs="Arial"/>
                <w:szCs w:val="20"/>
              </w:rPr>
              <w:t>PIQRAY 250 MG DOSE PACK</w:t>
            </w:r>
          </w:p>
        </w:tc>
        <w:tc>
          <w:tcPr>
            <w:tcW w:w="1402" w:type="dxa"/>
            <w:vAlign w:val="bottom"/>
          </w:tcPr>
          <w:p w14:paraId="4B838051" w14:textId="79FB32DA" w:rsidR="00A02DA5" w:rsidRPr="00902CF9" w:rsidRDefault="00A02DA5" w:rsidP="00CB689E">
            <w:pPr>
              <w:jc w:val="center"/>
              <w:rPr>
                <w:rFonts w:cs="Arial"/>
                <w:szCs w:val="20"/>
              </w:rPr>
            </w:pPr>
            <w:r w:rsidRPr="00640514">
              <w:rPr>
                <w:rFonts w:cs="Arial"/>
                <w:bCs/>
                <w:spacing w:val="-3"/>
                <w:szCs w:val="20"/>
              </w:rPr>
              <w:t>-</w:t>
            </w:r>
          </w:p>
        </w:tc>
        <w:tc>
          <w:tcPr>
            <w:tcW w:w="2355" w:type="dxa"/>
            <w:vAlign w:val="bottom"/>
          </w:tcPr>
          <w:p w14:paraId="0EDE8848" w14:textId="34DABC5F" w:rsidR="00A02DA5" w:rsidRPr="00902CF9" w:rsidRDefault="00A02DA5" w:rsidP="00CB689E">
            <w:pPr>
              <w:jc w:val="center"/>
              <w:rPr>
                <w:rFonts w:cs="Arial"/>
                <w:szCs w:val="20"/>
              </w:rPr>
            </w:pPr>
            <w:r w:rsidRPr="00640514">
              <w:rPr>
                <w:rFonts w:cs="Arial"/>
                <w:bCs/>
                <w:spacing w:val="-3"/>
                <w:szCs w:val="20"/>
              </w:rPr>
              <w:t>-</w:t>
            </w:r>
          </w:p>
        </w:tc>
      </w:tr>
      <w:tr w:rsidR="00A02DA5" w:rsidRPr="00902CF9" w14:paraId="2C99AECA" w14:textId="77777777" w:rsidTr="00461BFE">
        <w:trPr>
          <w:trHeight w:val="258"/>
          <w:jc w:val="center"/>
        </w:trPr>
        <w:tc>
          <w:tcPr>
            <w:tcW w:w="3595" w:type="dxa"/>
            <w:vAlign w:val="bottom"/>
          </w:tcPr>
          <w:p w14:paraId="0333F90E" w14:textId="1ED34C88" w:rsidR="00A02DA5" w:rsidRPr="00640514" w:rsidRDefault="00A02DA5" w:rsidP="00CB689E">
            <w:pPr>
              <w:rPr>
                <w:rFonts w:cs="Arial"/>
                <w:szCs w:val="20"/>
              </w:rPr>
            </w:pPr>
            <w:r w:rsidRPr="00640514">
              <w:rPr>
                <w:rFonts w:cs="Arial"/>
                <w:szCs w:val="20"/>
              </w:rPr>
              <w:t>PIQRAY 300 MG DOSE PACK</w:t>
            </w:r>
          </w:p>
        </w:tc>
        <w:tc>
          <w:tcPr>
            <w:tcW w:w="1402" w:type="dxa"/>
            <w:vAlign w:val="bottom"/>
          </w:tcPr>
          <w:p w14:paraId="7BE64E85" w14:textId="2B2BCC62" w:rsidR="00A02DA5" w:rsidRPr="00640514" w:rsidRDefault="00A02DA5" w:rsidP="00CB689E">
            <w:pPr>
              <w:jc w:val="center"/>
              <w:rPr>
                <w:rFonts w:cs="Arial"/>
                <w:bCs/>
                <w:spacing w:val="-3"/>
                <w:szCs w:val="20"/>
              </w:rPr>
            </w:pPr>
            <w:r w:rsidRPr="00640514">
              <w:rPr>
                <w:rFonts w:cs="Arial"/>
                <w:szCs w:val="20"/>
              </w:rPr>
              <w:t>4</w:t>
            </w:r>
          </w:p>
        </w:tc>
        <w:tc>
          <w:tcPr>
            <w:tcW w:w="2355" w:type="dxa"/>
            <w:vAlign w:val="bottom"/>
          </w:tcPr>
          <w:p w14:paraId="4D5F4C9D" w14:textId="4A4C904F" w:rsidR="00A02DA5" w:rsidRPr="00640514" w:rsidRDefault="00A02DA5" w:rsidP="00CB689E">
            <w:pPr>
              <w:jc w:val="center"/>
              <w:rPr>
                <w:rFonts w:cs="Arial"/>
                <w:bCs/>
                <w:spacing w:val="-3"/>
                <w:szCs w:val="20"/>
              </w:rPr>
            </w:pPr>
            <w:r w:rsidRPr="00640514">
              <w:rPr>
                <w:rFonts w:cs="Arial"/>
                <w:szCs w:val="20"/>
              </w:rPr>
              <w:t>$87,752.68</w:t>
            </w:r>
          </w:p>
        </w:tc>
      </w:tr>
      <w:tr w:rsidR="00A02DA5" w:rsidRPr="00902CF9" w14:paraId="14BCF9DA" w14:textId="77777777" w:rsidTr="00461BFE">
        <w:trPr>
          <w:trHeight w:val="258"/>
          <w:jc w:val="center"/>
        </w:trPr>
        <w:tc>
          <w:tcPr>
            <w:tcW w:w="3595" w:type="dxa"/>
            <w:vAlign w:val="bottom"/>
          </w:tcPr>
          <w:p w14:paraId="4141B0C3" w14:textId="30C9CAAE" w:rsidR="00A02DA5" w:rsidRPr="00640514" w:rsidRDefault="00A02DA5" w:rsidP="00CB689E">
            <w:pPr>
              <w:rPr>
                <w:rFonts w:cs="Arial"/>
                <w:szCs w:val="20"/>
              </w:rPr>
            </w:pPr>
            <w:r w:rsidRPr="00640514">
              <w:rPr>
                <w:rFonts w:cs="Arial"/>
                <w:szCs w:val="20"/>
              </w:rPr>
              <w:t>VIJOICE 50 MG TABLET</w:t>
            </w:r>
          </w:p>
        </w:tc>
        <w:tc>
          <w:tcPr>
            <w:tcW w:w="1402" w:type="dxa"/>
            <w:vAlign w:val="bottom"/>
          </w:tcPr>
          <w:p w14:paraId="10270ED2" w14:textId="48714EAD" w:rsidR="00A02DA5" w:rsidRPr="00640514" w:rsidRDefault="00A02DA5" w:rsidP="00CB689E">
            <w:pPr>
              <w:jc w:val="center"/>
              <w:rPr>
                <w:rFonts w:cs="Arial"/>
                <w:szCs w:val="20"/>
              </w:rPr>
            </w:pPr>
            <w:r w:rsidRPr="00640514">
              <w:rPr>
                <w:rFonts w:cs="Arial"/>
                <w:szCs w:val="20"/>
              </w:rPr>
              <w:t>7</w:t>
            </w:r>
          </w:p>
        </w:tc>
        <w:tc>
          <w:tcPr>
            <w:tcW w:w="2355" w:type="dxa"/>
            <w:vAlign w:val="bottom"/>
          </w:tcPr>
          <w:p w14:paraId="457049EF" w14:textId="3DE4180B" w:rsidR="00A02DA5" w:rsidRPr="00640514" w:rsidRDefault="00A02DA5" w:rsidP="00CB689E">
            <w:pPr>
              <w:jc w:val="center"/>
              <w:rPr>
                <w:rFonts w:cs="Arial"/>
                <w:szCs w:val="20"/>
              </w:rPr>
            </w:pPr>
            <w:r w:rsidRPr="00640514">
              <w:rPr>
                <w:rFonts w:cs="Arial"/>
                <w:szCs w:val="20"/>
              </w:rPr>
              <w:t>$209,013.09</w:t>
            </w:r>
          </w:p>
        </w:tc>
      </w:tr>
      <w:tr w:rsidR="00A02DA5" w:rsidRPr="00902CF9" w14:paraId="5B585433" w14:textId="77777777" w:rsidTr="00461BFE">
        <w:trPr>
          <w:trHeight w:val="258"/>
          <w:jc w:val="center"/>
        </w:trPr>
        <w:tc>
          <w:tcPr>
            <w:tcW w:w="3595" w:type="dxa"/>
            <w:vAlign w:val="bottom"/>
          </w:tcPr>
          <w:p w14:paraId="43C0D981" w14:textId="66A2FDB8" w:rsidR="00A02DA5" w:rsidRPr="00640514" w:rsidRDefault="00A02DA5" w:rsidP="00CB689E">
            <w:pPr>
              <w:rPr>
                <w:rFonts w:cs="Arial"/>
                <w:szCs w:val="20"/>
              </w:rPr>
            </w:pPr>
            <w:r w:rsidRPr="00640514">
              <w:rPr>
                <w:rFonts w:cs="Arial"/>
                <w:szCs w:val="20"/>
              </w:rPr>
              <w:t>VIJOICE 125 MG TABLET</w:t>
            </w:r>
          </w:p>
        </w:tc>
        <w:tc>
          <w:tcPr>
            <w:tcW w:w="1402" w:type="dxa"/>
            <w:vAlign w:val="bottom"/>
          </w:tcPr>
          <w:p w14:paraId="586505F3" w14:textId="15EC69D7" w:rsidR="00A02DA5" w:rsidRPr="00640514" w:rsidRDefault="00A02DA5" w:rsidP="00CB689E">
            <w:pPr>
              <w:jc w:val="center"/>
              <w:rPr>
                <w:rFonts w:cs="Arial"/>
                <w:szCs w:val="20"/>
              </w:rPr>
            </w:pPr>
            <w:r w:rsidRPr="00640514">
              <w:rPr>
                <w:rFonts w:cs="Arial"/>
                <w:szCs w:val="20"/>
              </w:rPr>
              <w:t>14</w:t>
            </w:r>
          </w:p>
        </w:tc>
        <w:tc>
          <w:tcPr>
            <w:tcW w:w="2355" w:type="dxa"/>
            <w:vAlign w:val="bottom"/>
          </w:tcPr>
          <w:p w14:paraId="36A21E2F" w14:textId="29A52976" w:rsidR="00A02DA5" w:rsidRPr="00640514" w:rsidRDefault="00A02DA5" w:rsidP="00CB689E">
            <w:pPr>
              <w:jc w:val="center"/>
              <w:rPr>
                <w:rFonts w:cs="Arial"/>
                <w:szCs w:val="20"/>
              </w:rPr>
            </w:pPr>
            <w:r w:rsidRPr="00640514">
              <w:rPr>
                <w:rFonts w:cs="Arial"/>
                <w:szCs w:val="20"/>
              </w:rPr>
              <w:t>$443,786.46</w:t>
            </w:r>
          </w:p>
        </w:tc>
      </w:tr>
      <w:tr w:rsidR="00A02DA5" w:rsidRPr="00902CF9" w14:paraId="605CB3AB" w14:textId="77777777" w:rsidTr="00461BFE">
        <w:trPr>
          <w:trHeight w:val="258"/>
          <w:jc w:val="center"/>
        </w:trPr>
        <w:tc>
          <w:tcPr>
            <w:tcW w:w="3595" w:type="dxa"/>
            <w:vAlign w:val="center"/>
          </w:tcPr>
          <w:p w14:paraId="223E7FE3" w14:textId="5F65A3BA" w:rsidR="00A02DA5" w:rsidRPr="00640514" w:rsidRDefault="00A02DA5" w:rsidP="00CB689E">
            <w:pPr>
              <w:rPr>
                <w:rFonts w:cs="Arial"/>
                <w:szCs w:val="20"/>
              </w:rPr>
            </w:pPr>
            <w:r w:rsidRPr="00640514">
              <w:rPr>
                <w:rFonts w:cs="Arial"/>
                <w:bCs/>
                <w:spacing w:val="-3"/>
                <w:szCs w:val="20"/>
              </w:rPr>
              <w:t>VIJOICE 250 MG BLISTER PACK</w:t>
            </w:r>
          </w:p>
        </w:tc>
        <w:tc>
          <w:tcPr>
            <w:tcW w:w="1402" w:type="dxa"/>
            <w:vAlign w:val="center"/>
          </w:tcPr>
          <w:p w14:paraId="52BCEA3A" w14:textId="5946F308" w:rsidR="00A02DA5" w:rsidRPr="00640514" w:rsidRDefault="00A02DA5" w:rsidP="00CB689E">
            <w:pPr>
              <w:jc w:val="center"/>
              <w:rPr>
                <w:rFonts w:cs="Arial"/>
                <w:szCs w:val="20"/>
              </w:rPr>
            </w:pPr>
            <w:r w:rsidRPr="00640514">
              <w:rPr>
                <w:rFonts w:cs="Arial"/>
                <w:bCs/>
                <w:spacing w:val="-3"/>
                <w:szCs w:val="20"/>
              </w:rPr>
              <w:t>-</w:t>
            </w:r>
          </w:p>
        </w:tc>
        <w:tc>
          <w:tcPr>
            <w:tcW w:w="2355" w:type="dxa"/>
            <w:vAlign w:val="center"/>
          </w:tcPr>
          <w:p w14:paraId="347286D7" w14:textId="11E6594B" w:rsidR="00A02DA5" w:rsidRPr="00640514" w:rsidRDefault="00A02DA5" w:rsidP="00CB689E">
            <w:pPr>
              <w:jc w:val="center"/>
              <w:rPr>
                <w:rFonts w:cs="Arial"/>
                <w:szCs w:val="20"/>
              </w:rPr>
            </w:pPr>
            <w:r w:rsidRPr="00640514">
              <w:rPr>
                <w:rFonts w:cs="Arial"/>
                <w:bCs/>
                <w:spacing w:val="-3"/>
                <w:szCs w:val="20"/>
              </w:rPr>
              <w:t>-</w:t>
            </w:r>
          </w:p>
        </w:tc>
      </w:tr>
      <w:tr w:rsidR="00A02DA5" w:rsidRPr="00902CF9" w14:paraId="68932602" w14:textId="77777777" w:rsidTr="00461BFE">
        <w:trPr>
          <w:trHeight w:val="258"/>
          <w:jc w:val="center"/>
        </w:trPr>
        <w:tc>
          <w:tcPr>
            <w:tcW w:w="3595" w:type="dxa"/>
            <w:vAlign w:val="center"/>
          </w:tcPr>
          <w:p w14:paraId="6D7917E7" w14:textId="7025FBD5" w:rsidR="00A02DA5" w:rsidRPr="00640514" w:rsidRDefault="00A02DA5" w:rsidP="00CB689E">
            <w:pPr>
              <w:rPr>
                <w:rFonts w:cs="Arial"/>
                <w:bCs/>
                <w:spacing w:val="-3"/>
                <w:szCs w:val="20"/>
              </w:rPr>
            </w:pPr>
            <w:r w:rsidRPr="00640514">
              <w:rPr>
                <w:rFonts w:cs="Arial"/>
                <w:bCs/>
                <w:spacing w:val="-3"/>
                <w:szCs w:val="20"/>
              </w:rPr>
              <w:t>VIJOICE 50 MG GRANULE PACK</w:t>
            </w:r>
          </w:p>
        </w:tc>
        <w:tc>
          <w:tcPr>
            <w:tcW w:w="1402" w:type="dxa"/>
            <w:vAlign w:val="bottom"/>
          </w:tcPr>
          <w:p w14:paraId="5996F154" w14:textId="7C3B03CD" w:rsidR="00A02DA5" w:rsidRPr="00640514" w:rsidRDefault="00A02DA5" w:rsidP="00CB689E">
            <w:pPr>
              <w:jc w:val="center"/>
              <w:rPr>
                <w:rFonts w:cs="Arial"/>
                <w:bCs/>
                <w:spacing w:val="-3"/>
                <w:szCs w:val="20"/>
              </w:rPr>
            </w:pPr>
            <w:r w:rsidRPr="00640514">
              <w:rPr>
                <w:rFonts w:cs="Arial"/>
                <w:szCs w:val="20"/>
              </w:rPr>
              <w:t>1</w:t>
            </w:r>
          </w:p>
        </w:tc>
        <w:tc>
          <w:tcPr>
            <w:tcW w:w="2355" w:type="dxa"/>
            <w:vAlign w:val="bottom"/>
          </w:tcPr>
          <w:p w14:paraId="0EB4F976" w14:textId="7F0DBF30" w:rsidR="00A02DA5" w:rsidRPr="00640514" w:rsidRDefault="00A02DA5" w:rsidP="00CB689E">
            <w:pPr>
              <w:jc w:val="center"/>
              <w:rPr>
                <w:rFonts w:cs="Arial"/>
                <w:bCs/>
                <w:spacing w:val="-3"/>
                <w:szCs w:val="20"/>
              </w:rPr>
            </w:pPr>
            <w:r w:rsidRPr="00640514">
              <w:rPr>
                <w:rFonts w:cs="Arial"/>
                <w:szCs w:val="20"/>
              </w:rPr>
              <w:t>$18,813.57</w:t>
            </w:r>
          </w:p>
        </w:tc>
      </w:tr>
    </w:tbl>
    <w:p w14:paraId="4691DC98" w14:textId="77777777" w:rsidR="003D4704" w:rsidRDefault="003D4704" w:rsidP="003D4704">
      <w:pPr>
        <w:rPr>
          <w:rFonts w:cs="Arial"/>
          <w:szCs w:val="20"/>
        </w:rPr>
      </w:pPr>
    </w:p>
    <w:tbl>
      <w:tblPr>
        <w:tblpPr w:leftFromText="180" w:rightFromText="180" w:vertAnchor="text" w:horzAnchor="page" w:tblpX="2426" w:tblpY="-60"/>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3780"/>
      </w:tblGrid>
      <w:tr w:rsidR="00FE4BDE" w:rsidRPr="00902CF9" w14:paraId="78EB79D4" w14:textId="77777777" w:rsidTr="00461BFE">
        <w:trPr>
          <w:trHeight w:val="170"/>
        </w:trPr>
        <w:tc>
          <w:tcPr>
            <w:tcW w:w="3600" w:type="dxa"/>
            <w:shd w:val="clear" w:color="auto" w:fill="FABF8F" w:themeFill="accent6" w:themeFillTint="99"/>
            <w:vAlign w:val="center"/>
          </w:tcPr>
          <w:p w14:paraId="18A97527" w14:textId="77777777" w:rsidR="00FE4BDE" w:rsidRPr="00272107" w:rsidRDefault="00FE4BDE" w:rsidP="00461BFE">
            <w:pPr>
              <w:jc w:val="center"/>
              <w:rPr>
                <w:b/>
                <w:bCs/>
              </w:rPr>
            </w:pPr>
            <w:r w:rsidRPr="00272107">
              <w:rPr>
                <w:b/>
                <w:bCs/>
              </w:rPr>
              <w:t>Drug</w:t>
            </w:r>
          </w:p>
        </w:tc>
        <w:tc>
          <w:tcPr>
            <w:tcW w:w="3780" w:type="dxa"/>
            <w:shd w:val="clear" w:color="auto" w:fill="FABF8F" w:themeFill="accent6" w:themeFillTint="99"/>
          </w:tcPr>
          <w:p w14:paraId="3800272B" w14:textId="77777777" w:rsidR="00FE4BDE" w:rsidRPr="0068388E" w:rsidRDefault="00FE4BDE" w:rsidP="00461BFE">
            <w:pPr>
              <w:jc w:val="center"/>
              <w:rPr>
                <w:rFonts w:cs="Arial"/>
                <w:b/>
                <w:spacing w:val="-3"/>
                <w:szCs w:val="20"/>
              </w:rPr>
            </w:pPr>
            <w:r w:rsidRPr="0068388E">
              <w:rPr>
                <w:rFonts w:cs="Arial"/>
                <w:b/>
                <w:spacing w:val="-3"/>
                <w:szCs w:val="20"/>
              </w:rPr>
              <w:t>Average Spend per Claim</w:t>
            </w:r>
          </w:p>
        </w:tc>
      </w:tr>
      <w:tr w:rsidR="00FE4BDE" w:rsidRPr="00902CF9" w14:paraId="6701B4F9" w14:textId="77777777" w:rsidTr="00461BFE">
        <w:trPr>
          <w:trHeight w:val="263"/>
        </w:trPr>
        <w:tc>
          <w:tcPr>
            <w:tcW w:w="3600" w:type="dxa"/>
            <w:vAlign w:val="center"/>
          </w:tcPr>
          <w:p w14:paraId="7CADB8B7" w14:textId="77777777" w:rsidR="00FE4BDE" w:rsidRPr="00902CF9" w:rsidRDefault="00FE4BDE" w:rsidP="00461BFE">
            <w:pPr>
              <w:jc w:val="center"/>
            </w:pPr>
            <w:r w:rsidRPr="00640514">
              <w:rPr>
                <w:rFonts w:cs="Arial"/>
                <w:szCs w:val="20"/>
              </w:rPr>
              <w:t>PIQRAY</w:t>
            </w:r>
          </w:p>
        </w:tc>
        <w:tc>
          <w:tcPr>
            <w:tcW w:w="3780" w:type="dxa"/>
          </w:tcPr>
          <w:p w14:paraId="2F944AAE" w14:textId="77777777" w:rsidR="00FE4BDE" w:rsidRPr="00902CF9" w:rsidRDefault="00FE4BDE" w:rsidP="00461BFE">
            <w:pPr>
              <w:jc w:val="center"/>
            </w:pPr>
            <w:r w:rsidRPr="00640514">
              <w:rPr>
                <w:rFonts w:cs="Arial"/>
                <w:szCs w:val="20"/>
              </w:rPr>
              <w:t>$21,938.17</w:t>
            </w:r>
          </w:p>
        </w:tc>
      </w:tr>
      <w:tr w:rsidR="00FE4BDE" w:rsidRPr="00902CF9" w14:paraId="0AF2684B" w14:textId="77777777" w:rsidTr="00461BFE">
        <w:trPr>
          <w:trHeight w:val="260"/>
        </w:trPr>
        <w:tc>
          <w:tcPr>
            <w:tcW w:w="3600" w:type="dxa"/>
            <w:vAlign w:val="center"/>
          </w:tcPr>
          <w:p w14:paraId="4788A466" w14:textId="77777777" w:rsidR="00FE4BDE" w:rsidRPr="00902CF9" w:rsidRDefault="00FE4BDE" w:rsidP="00461BFE">
            <w:pPr>
              <w:jc w:val="center"/>
            </w:pPr>
            <w:r w:rsidRPr="00640514">
              <w:rPr>
                <w:rFonts w:cs="Arial"/>
                <w:szCs w:val="20"/>
              </w:rPr>
              <w:t>VIJOICE</w:t>
            </w:r>
          </w:p>
        </w:tc>
        <w:tc>
          <w:tcPr>
            <w:tcW w:w="3780" w:type="dxa"/>
          </w:tcPr>
          <w:p w14:paraId="6017C521" w14:textId="77777777" w:rsidR="00FE4BDE" w:rsidRPr="00902CF9" w:rsidRDefault="00FE4BDE" w:rsidP="00461BFE">
            <w:pPr>
              <w:jc w:val="center"/>
            </w:pPr>
            <w:r w:rsidRPr="00640514">
              <w:rPr>
                <w:rFonts w:cs="Arial"/>
                <w:color w:val="000000"/>
                <w:szCs w:val="20"/>
              </w:rPr>
              <w:t>$30,527.87</w:t>
            </w:r>
          </w:p>
        </w:tc>
      </w:tr>
    </w:tbl>
    <w:p w14:paraId="7BA3014C" w14:textId="77777777" w:rsidR="00A02DA5" w:rsidRDefault="00A02DA5" w:rsidP="003D4704">
      <w:pPr>
        <w:rPr>
          <w:rFonts w:cs="Arial"/>
          <w:szCs w:val="20"/>
        </w:rPr>
      </w:pPr>
    </w:p>
    <w:p w14:paraId="061510E6" w14:textId="77777777" w:rsidR="00FE4BDE" w:rsidRDefault="00FE4BDE" w:rsidP="003D4704">
      <w:pPr>
        <w:rPr>
          <w:rFonts w:cs="Arial"/>
          <w:szCs w:val="20"/>
        </w:rPr>
      </w:pPr>
    </w:p>
    <w:p w14:paraId="407BC19A" w14:textId="77777777" w:rsidR="00FE4BDE" w:rsidRDefault="00FE4BDE" w:rsidP="003D4704">
      <w:pPr>
        <w:rPr>
          <w:rFonts w:cs="Arial"/>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92FB088" w:rsidR="0097028A" w:rsidRPr="0079438F" w:rsidRDefault="0097028A" w:rsidP="00696E3A">
      <w:pPr>
        <w:rPr>
          <w:b/>
        </w:rPr>
      </w:pPr>
      <w:r w:rsidRPr="00696E3A">
        <w:rPr>
          <w:b/>
          <w:bCs/>
        </w:rPr>
        <w:t>Drug class for review:</w:t>
      </w:r>
      <w:r w:rsidRPr="00C02553">
        <w:t xml:space="preserve"> </w:t>
      </w:r>
      <w:r w:rsidR="00CA721C">
        <w:rPr>
          <w:rFonts w:cs="Arial"/>
          <w:szCs w:val="20"/>
        </w:rPr>
        <w:t>Alpelisib agents</w:t>
      </w:r>
    </w:p>
    <w:p w14:paraId="26CFE8A0" w14:textId="5198D57C"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0C1B45" w:rsidRPr="000C1B45">
        <w:rPr>
          <w:rFonts w:cs="Arial"/>
          <w:szCs w:val="20"/>
        </w:rPr>
        <w:t xml:space="preserve"> </w:t>
      </w:r>
      <w:r w:rsidR="000C1B45">
        <w:rPr>
          <w:rFonts w:cs="Arial"/>
          <w:szCs w:val="20"/>
        </w:rPr>
        <w:t>aged 2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4E54F4B" w14:textId="77777777" w:rsidR="00ED1E00" w:rsidRDefault="00ED1E00" w:rsidP="00ED1E00">
      <w:pPr>
        <w:pStyle w:val="ListParagraph"/>
        <w:numPr>
          <w:ilvl w:val="0"/>
          <w:numId w:val="21"/>
        </w:numPr>
        <w:rPr>
          <w:rFonts w:eastAsia="Arial" w:cs="Arial"/>
          <w:szCs w:val="20"/>
        </w:rPr>
      </w:pPr>
      <w:r w:rsidRPr="0018727C">
        <w:rPr>
          <w:rFonts w:eastAsia="Arial" w:cs="Arial"/>
          <w:szCs w:val="20"/>
        </w:rPr>
        <w:t xml:space="preserve">Must meet </w:t>
      </w:r>
      <w:r>
        <w:rPr>
          <w:rFonts w:eastAsia="Arial" w:cs="Arial"/>
          <w:szCs w:val="20"/>
        </w:rPr>
        <w:t>one</w:t>
      </w:r>
      <w:r w:rsidRPr="0018727C">
        <w:rPr>
          <w:rFonts w:eastAsia="Arial" w:cs="Arial"/>
          <w:szCs w:val="20"/>
        </w:rPr>
        <w:t xml:space="preserve"> of the following:</w:t>
      </w:r>
    </w:p>
    <w:p w14:paraId="2C1FCF2F" w14:textId="77777777" w:rsidR="00ED1E00" w:rsidRPr="0018727C" w:rsidRDefault="00ED1E00" w:rsidP="00ED1E00">
      <w:pPr>
        <w:pStyle w:val="ListParagraph"/>
        <w:numPr>
          <w:ilvl w:val="1"/>
          <w:numId w:val="21"/>
        </w:numPr>
        <w:rPr>
          <w:rFonts w:eastAsia="Arial" w:cs="Arial"/>
          <w:szCs w:val="20"/>
        </w:rPr>
      </w:pPr>
      <w:r w:rsidRPr="0018727C">
        <w:rPr>
          <w:rFonts w:cs="Arial"/>
          <w:szCs w:val="20"/>
        </w:rPr>
        <w:t>Claim is for Piqray</w:t>
      </w:r>
      <w:r>
        <w:rPr>
          <w:rFonts w:cs="Arial"/>
          <w:szCs w:val="20"/>
        </w:rPr>
        <w:t xml:space="preserve">; </w:t>
      </w:r>
      <w:r w:rsidRPr="00087F16">
        <w:rPr>
          <w:rFonts w:cs="Arial"/>
          <w:b/>
          <w:bCs/>
          <w:szCs w:val="20"/>
        </w:rPr>
        <w:t>OR</w:t>
      </w:r>
    </w:p>
    <w:p w14:paraId="5B5BF6DE" w14:textId="77777777" w:rsidR="00ED1E00" w:rsidRPr="00087F16" w:rsidRDefault="00ED1E00" w:rsidP="00ED1E00">
      <w:pPr>
        <w:pStyle w:val="NoSpacing"/>
        <w:numPr>
          <w:ilvl w:val="1"/>
          <w:numId w:val="21"/>
        </w:numPr>
        <w:rPr>
          <w:sz w:val="20"/>
          <w:szCs w:val="20"/>
        </w:rPr>
      </w:pPr>
      <w:r>
        <w:rPr>
          <w:sz w:val="20"/>
          <w:szCs w:val="20"/>
        </w:rPr>
        <w:t>Claim is</w:t>
      </w:r>
      <w:r w:rsidRPr="0018727C">
        <w:rPr>
          <w:sz w:val="20"/>
          <w:szCs w:val="20"/>
        </w:rPr>
        <w:t xml:space="preserve"> for Vijoice</w:t>
      </w:r>
      <w:r w:rsidRPr="00CB5A60">
        <w:rPr>
          <w:sz w:val="20"/>
          <w:szCs w:val="20"/>
        </w:rPr>
        <w:t>:</w:t>
      </w:r>
    </w:p>
    <w:p w14:paraId="721A96B6" w14:textId="77777777" w:rsidR="00ED1E00" w:rsidRPr="00E048C3" w:rsidRDefault="00ED1E00" w:rsidP="00ED1E00">
      <w:pPr>
        <w:pStyle w:val="NoSpacing"/>
        <w:numPr>
          <w:ilvl w:val="2"/>
          <w:numId w:val="21"/>
        </w:numPr>
        <w:ind w:left="1080"/>
        <w:rPr>
          <w:sz w:val="20"/>
          <w:szCs w:val="20"/>
        </w:rPr>
      </w:pPr>
      <w:r w:rsidRPr="00E048C3">
        <w:rPr>
          <w:sz w:val="20"/>
          <w:szCs w:val="20"/>
        </w:rPr>
        <w:t xml:space="preserve">Must meet all of the following: </w:t>
      </w:r>
    </w:p>
    <w:p w14:paraId="0114ABD2" w14:textId="77777777" w:rsidR="00ED1E00" w:rsidRDefault="00ED1E00" w:rsidP="00ED1E00">
      <w:pPr>
        <w:pStyle w:val="NoSpacing"/>
        <w:numPr>
          <w:ilvl w:val="3"/>
          <w:numId w:val="21"/>
        </w:numPr>
        <w:ind w:left="1440"/>
        <w:rPr>
          <w:sz w:val="20"/>
          <w:szCs w:val="20"/>
        </w:rPr>
      </w:pPr>
      <w:r w:rsidRPr="0018727C">
        <w:rPr>
          <w:sz w:val="20"/>
          <w:szCs w:val="20"/>
        </w:rPr>
        <w:t>Prescribed by or in consultation with an appropriate specialist in the treated disease state;</w:t>
      </w:r>
    </w:p>
    <w:p w14:paraId="111059C1" w14:textId="77777777" w:rsidR="00ED1E00" w:rsidRDefault="00ED1E00" w:rsidP="00ED1E00">
      <w:pPr>
        <w:pStyle w:val="NoSpacing"/>
        <w:numPr>
          <w:ilvl w:val="3"/>
          <w:numId w:val="21"/>
        </w:numPr>
        <w:ind w:left="1440"/>
        <w:rPr>
          <w:sz w:val="20"/>
          <w:szCs w:val="20"/>
        </w:rPr>
      </w:pPr>
      <w:r w:rsidRPr="0018727C">
        <w:rPr>
          <w:sz w:val="20"/>
          <w:szCs w:val="20"/>
        </w:rPr>
        <w:t>Participant is aged ≥ 2 years;</w:t>
      </w:r>
    </w:p>
    <w:p w14:paraId="3B4FF903" w14:textId="77777777" w:rsidR="00ED1E00" w:rsidRDefault="00ED1E00" w:rsidP="00ED1E00">
      <w:pPr>
        <w:pStyle w:val="NoSpacing"/>
        <w:numPr>
          <w:ilvl w:val="3"/>
          <w:numId w:val="21"/>
        </w:numPr>
        <w:ind w:left="1440"/>
        <w:rPr>
          <w:sz w:val="20"/>
          <w:szCs w:val="20"/>
        </w:rPr>
      </w:pPr>
      <w:r w:rsidRPr="0018727C">
        <w:rPr>
          <w:sz w:val="20"/>
          <w:szCs w:val="20"/>
        </w:rPr>
        <w:t>Documented diagnosis of PROS as verified by</w:t>
      </w:r>
      <w:r>
        <w:rPr>
          <w:sz w:val="20"/>
          <w:szCs w:val="20"/>
        </w:rPr>
        <w:t xml:space="preserve"> one of the following</w:t>
      </w:r>
      <w:r w:rsidRPr="0018727C">
        <w:rPr>
          <w:sz w:val="20"/>
          <w:szCs w:val="20"/>
        </w:rPr>
        <w:t>:</w:t>
      </w:r>
    </w:p>
    <w:p w14:paraId="0610BA67" w14:textId="77777777" w:rsidR="00ED1E00" w:rsidRDefault="00ED1E00" w:rsidP="00ED1E00">
      <w:pPr>
        <w:pStyle w:val="NoSpacing"/>
        <w:numPr>
          <w:ilvl w:val="4"/>
          <w:numId w:val="21"/>
        </w:numPr>
        <w:tabs>
          <w:tab w:val="left" w:pos="1350"/>
        </w:tabs>
        <w:ind w:left="1800"/>
        <w:rPr>
          <w:sz w:val="20"/>
          <w:szCs w:val="20"/>
        </w:rPr>
      </w:pPr>
      <w:r w:rsidRPr="0018727C">
        <w:rPr>
          <w:sz w:val="20"/>
          <w:szCs w:val="20"/>
        </w:rPr>
        <w:t xml:space="preserve">Genetic testing; </w:t>
      </w:r>
      <w:r w:rsidRPr="0018727C">
        <w:rPr>
          <w:b/>
          <w:bCs/>
          <w:sz w:val="20"/>
          <w:szCs w:val="20"/>
        </w:rPr>
        <w:t>OR</w:t>
      </w:r>
      <w:r w:rsidRPr="0018727C">
        <w:rPr>
          <w:sz w:val="20"/>
          <w:szCs w:val="20"/>
        </w:rPr>
        <w:t xml:space="preserve"> </w:t>
      </w:r>
    </w:p>
    <w:p w14:paraId="4ACBB62B" w14:textId="77777777" w:rsidR="00ED1E00" w:rsidRDefault="00ED1E00" w:rsidP="00ED1E00">
      <w:pPr>
        <w:pStyle w:val="NoSpacing"/>
        <w:numPr>
          <w:ilvl w:val="4"/>
          <w:numId w:val="21"/>
        </w:numPr>
        <w:tabs>
          <w:tab w:val="left" w:pos="1350"/>
        </w:tabs>
        <w:ind w:left="1800"/>
        <w:rPr>
          <w:sz w:val="20"/>
          <w:szCs w:val="20"/>
        </w:rPr>
      </w:pPr>
      <w:r w:rsidRPr="0018727C">
        <w:rPr>
          <w:sz w:val="20"/>
          <w:szCs w:val="20"/>
        </w:rPr>
        <w:t>National Institutes of Health (NIH) Workshop Diagnostic Guidelines;</w:t>
      </w:r>
      <w:r>
        <w:rPr>
          <w:sz w:val="20"/>
          <w:szCs w:val="20"/>
        </w:rPr>
        <w:t xml:space="preserve"> </w:t>
      </w:r>
      <w:r w:rsidRPr="00087F16">
        <w:rPr>
          <w:b/>
          <w:bCs/>
          <w:sz w:val="20"/>
          <w:szCs w:val="20"/>
        </w:rPr>
        <w:t>AND</w:t>
      </w:r>
    </w:p>
    <w:p w14:paraId="041864AB" w14:textId="77777777" w:rsidR="00ED1E00" w:rsidRPr="00087F16" w:rsidRDefault="00ED1E00" w:rsidP="00ED1E00">
      <w:pPr>
        <w:pStyle w:val="NoSpacing"/>
        <w:numPr>
          <w:ilvl w:val="3"/>
          <w:numId w:val="21"/>
        </w:numPr>
        <w:ind w:left="1440"/>
        <w:rPr>
          <w:sz w:val="20"/>
          <w:szCs w:val="20"/>
        </w:rPr>
      </w:pPr>
      <w:r>
        <w:rPr>
          <w:sz w:val="20"/>
          <w:szCs w:val="20"/>
        </w:rPr>
        <w:t>Must meet one of the following:</w:t>
      </w:r>
    </w:p>
    <w:p w14:paraId="36DAADD1" w14:textId="77777777" w:rsidR="00ED1E00" w:rsidRPr="0042488E" w:rsidRDefault="00ED1E00" w:rsidP="00ED1E00">
      <w:pPr>
        <w:pStyle w:val="NoSpacing"/>
        <w:numPr>
          <w:ilvl w:val="4"/>
          <w:numId w:val="21"/>
        </w:numPr>
        <w:ind w:left="1800"/>
        <w:rPr>
          <w:sz w:val="20"/>
          <w:szCs w:val="20"/>
        </w:rPr>
      </w:pPr>
      <w:r w:rsidRPr="0042488E">
        <w:rPr>
          <w:sz w:val="20"/>
          <w:szCs w:val="20"/>
        </w:rPr>
        <w:t xml:space="preserve">Documentation of at least one target lesion identified on imaging with baseline measurement of target lesion volume; </w:t>
      </w:r>
      <w:r w:rsidRPr="0042488E">
        <w:rPr>
          <w:b/>
          <w:bCs/>
          <w:sz w:val="20"/>
          <w:szCs w:val="20"/>
        </w:rPr>
        <w:t>OR</w:t>
      </w:r>
    </w:p>
    <w:p w14:paraId="7E4AFF84" w14:textId="77777777" w:rsidR="00ED1E00" w:rsidRDefault="00ED1E00" w:rsidP="00ED1E00">
      <w:pPr>
        <w:pStyle w:val="NoSpacing"/>
        <w:numPr>
          <w:ilvl w:val="4"/>
          <w:numId w:val="21"/>
        </w:numPr>
        <w:ind w:left="1800"/>
        <w:rPr>
          <w:sz w:val="20"/>
          <w:szCs w:val="20"/>
        </w:rPr>
      </w:pPr>
      <w:r w:rsidRPr="0018727C">
        <w:rPr>
          <w:sz w:val="20"/>
          <w:szCs w:val="20"/>
        </w:rPr>
        <w:t>Participants who are unable to complete baseline imaging must have at least one quantifiable target lesion able to be measured</w:t>
      </w:r>
      <w:r>
        <w:rPr>
          <w:sz w:val="20"/>
          <w:szCs w:val="20"/>
        </w:rPr>
        <w:t>;</w:t>
      </w:r>
      <w:r w:rsidRPr="0018727C">
        <w:rPr>
          <w:sz w:val="20"/>
          <w:szCs w:val="20"/>
        </w:rPr>
        <w:t xml:space="preserve"> requests will be subject to clinical review.</w:t>
      </w:r>
    </w:p>
    <w:p w14:paraId="1E396DEE" w14:textId="77777777" w:rsidR="00ED1E00" w:rsidRDefault="00ED1E00" w:rsidP="00ED1E00">
      <w:pPr>
        <w:pStyle w:val="NoSpacing"/>
        <w:numPr>
          <w:ilvl w:val="2"/>
          <w:numId w:val="21"/>
        </w:numPr>
        <w:ind w:left="1080"/>
        <w:rPr>
          <w:sz w:val="20"/>
          <w:szCs w:val="20"/>
        </w:rPr>
      </w:pPr>
      <w:r w:rsidRPr="0018727C">
        <w:rPr>
          <w:sz w:val="20"/>
          <w:szCs w:val="20"/>
        </w:rPr>
        <w:t>Additional approval criteria for participants aged ≥ 18 years:</w:t>
      </w:r>
    </w:p>
    <w:p w14:paraId="1C3B0A6C" w14:textId="77777777" w:rsidR="00ED1E00" w:rsidRPr="0018727C" w:rsidRDefault="00ED1E00" w:rsidP="00ED1E00">
      <w:pPr>
        <w:pStyle w:val="NoSpacing"/>
        <w:numPr>
          <w:ilvl w:val="3"/>
          <w:numId w:val="21"/>
        </w:numPr>
        <w:ind w:left="1440"/>
        <w:rPr>
          <w:sz w:val="20"/>
          <w:szCs w:val="20"/>
        </w:rPr>
      </w:pPr>
      <w:r w:rsidRPr="0018727C">
        <w:rPr>
          <w:sz w:val="20"/>
          <w:szCs w:val="20"/>
        </w:rPr>
        <w:t>Therapeutic reason why Piqray 250 mg daily dose pack cannot be utilized</w:t>
      </w:r>
      <w:r>
        <w:rPr>
          <w:sz w:val="20"/>
          <w:szCs w:val="20"/>
        </w:rPr>
        <w:t>.</w:t>
      </w:r>
    </w:p>
    <w:p w14:paraId="6897FC72" w14:textId="5A469353" w:rsidR="00ED1E00" w:rsidRDefault="00ED1E00" w:rsidP="00ED1E00">
      <w:pPr>
        <w:rPr>
          <w:rFonts w:eastAsia="Arial"/>
          <w:szCs w:val="20"/>
        </w:rPr>
      </w:pPr>
      <w:r w:rsidRPr="0029568B">
        <w:rPr>
          <w:rFonts w:eastAsia="Arial"/>
          <w:szCs w:val="20"/>
        </w:rPr>
        <w:t>Initial approval</w:t>
      </w:r>
      <w:r>
        <w:rPr>
          <w:rFonts w:eastAsia="Arial"/>
          <w:szCs w:val="20"/>
        </w:rPr>
        <w:t xml:space="preserve"> period: </w:t>
      </w:r>
      <w:r w:rsidRPr="0029568B">
        <w:rPr>
          <w:rFonts w:eastAsia="Arial"/>
          <w:szCs w:val="20"/>
        </w:rPr>
        <w:t>6 months</w:t>
      </w:r>
    </w:p>
    <w:p w14:paraId="60A6C9B9" w14:textId="77777777" w:rsidR="00ED1E00" w:rsidRPr="00ED1E00" w:rsidRDefault="00ED1E00" w:rsidP="00ED1E00">
      <w:pPr>
        <w:rPr>
          <w:rFonts w:eastAsia="Arial"/>
          <w:szCs w:val="20"/>
        </w:rPr>
      </w:pPr>
    </w:p>
    <w:p w14:paraId="7EC2017B" w14:textId="77777777" w:rsidR="00635DDB" w:rsidRPr="00696E3A" w:rsidRDefault="00635DDB" w:rsidP="00635DDB">
      <w:pPr>
        <w:rPr>
          <w:b/>
          <w:bCs/>
        </w:rPr>
      </w:pPr>
      <w:r w:rsidRPr="00696E3A">
        <w:rPr>
          <w:b/>
          <w:bCs/>
        </w:rPr>
        <w:t>Continuation of Therapy:</w:t>
      </w:r>
    </w:p>
    <w:p w14:paraId="0E9990EC" w14:textId="77777777" w:rsidR="00981BAC" w:rsidRDefault="00981BAC" w:rsidP="00981BAC">
      <w:pPr>
        <w:pStyle w:val="ListParagraph"/>
        <w:numPr>
          <w:ilvl w:val="0"/>
          <w:numId w:val="22"/>
        </w:numPr>
        <w:rPr>
          <w:rFonts w:eastAsia="Arial" w:cs="Arial"/>
          <w:szCs w:val="20"/>
        </w:rPr>
      </w:pPr>
      <w:r w:rsidRPr="0018727C">
        <w:rPr>
          <w:rFonts w:eastAsia="Arial" w:cs="Arial"/>
          <w:szCs w:val="20"/>
        </w:rPr>
        <w:t xml:space="preserve">Must meet </w:t>
      </w:r>
      <w:r>
        <w:rPr>
          <w:rFonts w:eastAsia="Arial" w:cs="Arial"/>
          <w:szCs w:val="20"/>
        </w:rPr>
        <w:t>one</w:t>
      </w:r>
      <w:r w:rsidRPr="0018727C">
        <w:rPr>
          <w:rFonts w:eastAsia="Arial" w:cs="Arial"/>
          <w:szCs w:val="20"/>
        </w:rPr>
        <w:t xml:space="preserve"> of the following:</w:t>
      </w:r>
    </w:p>
    <w:p w14:paraId="34596867" w14:textId="77777777" w:rsidR="00981BAC" w:rsidRPr="0018727C" w:rsidRDefault="00981BAC" w:rsidP="00981BAC">
      <w:pPr>
        <w:pStyle w:val="ListParagraph"/>
        <w:numPr>
          <w:ilvl w:val="1"/>
          <w:numId w:val="22"/>
        </w:numPr>
        <w:ind w:left="720"/>
        <w:rPr>
          <w:rFonts w:eastAsia="Arial" w:cs="Arial"/>
          <w:szCs w:val="20"/>
        </w:rPr>
      </w:pPr>
      <w:r w:rsidRPr="0018727C">
        <w:rPr>
          <w:rFonts w:cs="Arial"/>
          <w:szCs w:val="20"/>
        </w:rPr>
        <w:t>Claim is for Piqray</w:t>
      </w:r>
      <w:r>
        <w:rPr>
          <w:rFonts w:cs="Arial"/>
          <w:szCs w:val="20"/>
        </w:rPr>
        <w:t xml:space="preserve">; </w:t>
      </w:r>
      <w:r w:rsidRPr="002F4250">
        <w:rPr>
          <w:rFonts w:cs="Arial"/>
          <w:b/>
          <w:bCs/>
          <w:szCs w:val="20"/>
        </w:rPr>
        <w:t>OR</w:t>
      </w:r>
    </w:p>
    <w:p w14:paraId="650719DF" w14:textId="77777777" w:rsidR="00981BAC" w:rsidRPr="002F4250" w:rsidRDefault="00981BAC" w:rsidP="00981BAC">
      <w:pPr>
        <w:pStyle w:val="NoSpacing"/>
        <w:numPr>
          <w:ilvl w:val="1"/>
          <w:numId w:val="22"/>
        </w:numPr>
        <w:ind w:left="720"/>
        <w:rPr>
          <w:sz w:val="20"/>
          <w:szCs w:val="20"/>
        </w:rPr>
      </w:pPr>
      <w:r>
        <w:rPr>
          <w:sz w:val="20"/>
          <w:szCs w:val="20"/>
        </w:rPr>
        <w:t>Claim is</w:t>
      </w:r>
      <w:r w:rsidRPr="0018727C">
        <w:rPr>
          <w:sz w:val="20"/>
          <w:szCs w:val="20"/>
        </w:rPr>
        <w:t xml:space="preserve"> </w:t>
      </w:r>
      <w:r w:rsidRPr="00781641">
        <w:rPr>
          <w:sz w:val="20"/>
          <w:szCs w:val="20"/>
        </w:rPr>
        <w:t>for Vijoice</w:t>
      </w:r>
      <w:r w:rsidRPr="00781641">
        <w:rPr>
          <w:b/>
          <w:bCs/>
          <w:sz w:val="20"/>
          <w:szCs w:val="20"/>
        </w:rPr>
        <w:t>:</w:t>
      </w:r>
    </w:p>
    <w:p w14:paraId="5C7873C6" w14:textId="77777777" w:rsidR="00981BAC" w:rsidRPr="003F412A" w:rsidRDefault="00981BAC" w:rsidP="00981BAC">
      <w:pPr>
        <w:pStyle w:val="ListParagraph"/>
        <w:numPr>
          <w:ilvl w:val="2"/>
          <w:numId w:val="22"/>
        </w:numPr>
        <w:ind w:left="1080"/>
        <w:rPr>
          <w:rFonts w:eastAsia="Arial" w:cs="Arial"/>
          <w:szCs w:val="20"/>
          <w:u w:val="single"/>
        </w:rPr>
      </w:pPr>
      <w:r>
        <w:rPr>
          <w:rFonts w:eastAsia="Arial" w:cs="Arial"/>
          <w:szCs w:val="20"/>
        </w:rPr>
        <w:t>D</w:t>
      </w:r>
      <w:r w:rsidRPr="003F412A">
        <w:rPr>
          <w:rFonts w:eastAsia="Arial" w:cs="Arial"/>
          <w:szCs w:val="20"/>
        </w:rPr>
        <w:t>ocumentation of benefit of therapy by one of the following from baseline:</w:t>
      </w:r>
    </w:p>
    <w:p w14:paraId="13FE6520" w14:textId="77777777" w:rsidR="00981BAC" w:rsidRPr="003F412A" w:rsidRDefault="00981BAC" w:rsidP="00981BAC">
      <w:pPr>
        <w:pStyle w:val="ListParagraph"/>
        <w:numPr>
          <w:ilvl w:val="3"/>
          <w:numId w:val="22"/>
        </w:numPr>
        <w:ind w:left="1440"/>
        <w:rPr>
          <w:rFonts w:eastAsia="Arial" w:cs="Arial"/>
          <w:szCs w:val="20"/>
          <w:u w:val="single"/>
        </w:rPr>
      </w:pPr>
      <w:r w:rsidRPr="003F412A">
        <w:rPr>
          <w:rFonts w:eastAsia="Arial" w:cs="Arial"/>
          <w:szCs w:val="20"/>
        </w:rPr>
        <w:t>≥ 20% reduction in measurement of target lesion volume</w:t>
      </w:r>
      <w:r>
        <w:rPr>
          <w:rFonts w:eastAsia="Arial" w:cs="Arial"/>
          <w:szCs w:val="20"/>
        </w:rPr>
        <w:t>;</w:t>
      </w:r>
    </w:p>
    <w:p w14:paraId="217A2936" w14:textId="77777777" w:rsidR="00981BAC" w:rsidRPr="003F412A" w:rsidRDefault="00981BAC" w:rsidP="00981BAC">
      <w:pPr>
        <w:pStyle w:val="ListParagraph"/>
        <w:numPr>
          <w:ilvl w:val="3"/>
          <w:numId w:val="22"/>
        </w:numPr>
        <w:ind w:left="1440"/>
        <w:rPr>
          <w:rFonts w:eastAsia="Arial" w:cs="Arial"/>
          <w:szCs w:val="20"/>
          <w:u w:val="single"/>
        </w:rPr>
      </w:pPr>
      <w:r w:rsidRPr="003F412A">
        <w:rPr>
          <w:rFonts w:eastAsia="Arial" w:cs="Arial"/>
          <w:szCs w:val="20"/>
        </w:rPr>
        <w:t>Reduction in sum of lesion volume</w:t>
      </w:r>
      <w:r>
        <w:rPr>
          <w:rFonts w:eastAsia="Arial" w:cs="Arial"/>
          <w:szCs w:val="20"/>
        </w:rPr>
        <w:t xml:space="preserve">; </w:t>
      </w:r>
      <w:r w:rsidRPr="003F412A">
        <w:rPr>
          <w:rFonts w:eastAsia="Arial" w:cs="Arial"/>
          <w:b/>
          <w:bCs/>
          <w:szCs w:val="20"/>
        </w:rPr>
        <w:t>OR</w:t>
      </w:r>
    </w:p>
    <w:p w14:paraId="668BB303" w14:textId="77777777" w:rsidR="00981BAC" w:rsidRPr="003F412A" w:rsidRDefault="00981BAC" w:rsidP="00981BAC">
      <w:pPr>
        <w:pStyle w:val="ListParagraph"/>
        <w:numPr>
          <w:ilvl w:val="3"/>
          <w:numId w:val="22"/>
        </w:numPr>
        <w:ind w:left="1440"/>
        <w:rPr>
          <w:rFonts w:eastAsia="Arial" w:cs="Arial"/>
          <w:szCs w:val="20"/>
          <w:u w:val="single"/>
        </w:rPr>
      </w:pPr>
      <w:r w:rsidRPr="003F412A">
        <w:rPr>
          <w:rFonts w:eastAsia="Arial" w:cs="Arial"/>
          <w:szCs w:val="20"/>
        </w:rPr>
        <w:t>Clinically meaningful improvement in signs and symptoms of disease (i.e., vascular malformation, functional improvement, limb asymmetry, pain)</w:t>
      </w:r>
      <w:r>
        <w:rPr>
          <w:rFonts w:eastAsia="Arial" w:cs="Arial"/>
          <w:szCs w:val="20"/>
        </w:rPr>
        <w:t>.</w:t>
      </w:r>
    </w:p>
    <w:p w14:paraId="185F755A" w14:textId="77777777" w:rsidR="00981BAC" w:rsidRPr="003F412A" w:rsidRDefault="00981BAC" w:rsidP="00981BAC">
      <w:pPr>
        <w:pStyle w:val="ListParagraph"/>
        <w:numPr>
          <w:ilvl w:val="0"/>
          <w:numId w:val="22"/>
        </w:numPr>
        <w:rPr>
          <w:rFonts w:eastAsia="Arial" w:cs="Arial"/>
          <w:szCs w:val="20"/>
          <w:u w:val="single"/>
        </w:rPr>
      </w:pPr>
      <w:r w:rsidRPr="003F412A">
        <w:rPr>
          <w:rFonts w:eastAsia="Arial" w:cs="Arial"/>
          <w:szCs w:val="20"/>
        </w:rPr>
        <w:t>Continu</w:t>
      </w:r>
      <w:r>
        <w:rPr>
          <w:rFonts w:eastAsia="Arial" w:cs="Arial"/>
          <w:szCs w:val="20"/>
        </w:rPr>
        <w:t>ation</w:t>
      </w:r>
      <w:r w:rsidRPr="003F412A">
        <w:rPr>
          <w:rFonts w:eastAsia="Arial" w:cs="Arial"/>
          <w:szCs w:val="20"/>
        </w:rPr>
        <w:t xml:space="preserve"> approval</w:t>
      </w:r>
      <w:r>
        <w:rPr>
          <w:rFonts w:eastAsia="Arial" w:cs="Arial"/>
          <w:szCs w:val="20"/>
        </w:rPr>
        <w:t xml:space="preserve"> period: </w:t>
      </w:r>
      <w:r w:rsidRPr="003F412A">
        <w:rPr>
          <w:rFonts w:eastAsia="Arial" w:cs="Arial"/>
          <w:szCs w:val="20"/>
        </w:rPr>
        <w:t>1 year</w:t>
      </w:r>
    </w:p>
    <w:p w14:paraId="67B24D45" w14:textId="77777777" w:rsidR="00677732" w:rsidRPr="00A4145C" w:rsidRDefault="00677732" w:rsidP="00677732">
      <w:pPr>
        <w:pStyle w:val="ListParagraph"/>
        <w:numPr>
          <w:ilvl w:val="0"/>
          <w:numId w:val="0"/>
        </w:numPr>
        <w:ind w:left="360"/>
        <w:rPr>
          <w:rFonts w:eastAsia="Arial"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391A5C0" w14:textId="77777777" w:rsidR="00CA25EB" w:rsidRDefault="00CA25EB" w:rsidP="00CA25EB">
      <w:pPr>
        <w:pStyle w:val="ListParagraph"/>
        <w:numPr>
          <w:ilvl w:val="0"/>
          <w:numId w:val="19"/>
        </w:numPr>
        <w:rPr>
          <w:rFonts w:cs="Arial"/>
          <w:noProof/>
          <w:szCs w:val="20"/>
        </w:rPr>
      </w:pPr>
      <w:bookmarkStart w:id="1" w:name="_Hlk47597237"/>
      <w:r>
        <w:rPr>
          <w:rFonts w:cs="Arial"/>
          <w:noProof/>
          <w:szCs w:val="20"/>
        </w:rPr>
        <w:t>Therapy will deny in presence of one of the following:</w:t>
      </w:r>
    </w:p>
    <w:p w14:paraId="459093D0" w14:textId="77777777" w:rsidR="00CA25EB" w:rsidRDefault="00CA25EB" w:rsidP="00CA25EB">
      <w:pPr>
        <w:pStyle w:val="ListParagraph"/>
        <w:numPr>
          <w:ilvl w:val="1"/>
          <w:numId w:val="19"/>
        </w:numPr>
        <w:rPr>
          <w:rFonts w:cs="Arial"/>
          <w:noProof/>
          <w:szCs w:val="20"/>
        </w:rPr>
      </w:pPr>
      <w:r>
        <w:rPr>
          <w:rFonts w:cs="Arial"/>
          <w:noProof/>
          <w:szCs w:val="20"/>
        </w:rPr>
        <w:t>Any approval criteria are not met.</w:t>
      </w:r>
    </w:p>
    <w:p w14:paraId="56835CF7" w14:textId="77777777" w:rsidR="00CA25EB" w:rsidRDefault="00CA25EB" w:rsidP="00CA25EB">
      <w:pPr>
        <w:pStyle w:val="ListParagraph"/>
        <w:numPr>
          <w:ilvl w:val="0"/>
          <w:numId w:val="19"/>
        </w:numPr>
        <w:rPr>
          <w:rFonts w:cs="Arial"/>
          <w:noProof/>
          <w:szCs w:val="20"/>
        </w:rPr>
      </w:pPr>
      <w:r>
        <w:rPr>
          <w:rFonts w:cs="Arial"/>
          <w:noProof/>
          <w:szCs w:val="20"/>
        </w:rPr>
        <w:t>Additional denial criteria for Vijoice:</w:t>
      </w:r>
    </w:p>
    <w:p w14:paraId="089257BC" w14:textId="77777777" w:rsidR="00CA25EB" w:rsidRPr="00DB083D" w:rsidRDefault="00CA25EB" w:rsidP="00CA25EB">
      <w:pPr>
        <w:pStyle w:val="ListParagraph"/>
        <w:numPr>
          <w:ilvl w:val="1"/>
          <w:numId w:val="19"/>
        </w:numPr>
        <w:rPr>
          <w:rFonts w:cs="Arial"/>
          <w:noProof/>
          <w:szCs w:val="20"/>
        </w:rPr>
      </w:pPr>
      <w:r>
        <w:rPr>
          <w:rFonts w:cs="Arial"/>
          <w:noProof/>
          <w:szCs w:val="20"/>
        </w:rPr>
        <w:t>Participant is currently pregnant.</w:t>
      </w:r>
    </w:p>
    <w:bookmarkEnd w:id="1"/>
    <w:p w14:paraId="418EB7F9" w14:textId="13D579CC" w:rsidR="00E85838" w:rsidRPr="00A90F50" w:rsidRDefault="00E85838" w:rsidP="00677732">
      <w:pPr>
        <w:pStyle w:val="ListParagraph"/>
        <w:numPr>
          <w:ilvl w:val="0"/>
          <w:numId w:val="0"/>
        </w:numPr>
        <w:ind w:left="720"/>
        <w:rPr>
          <w:rFonts w:cs="Arial"/>
          <w:bCs/>
          <w:noProof/>
          <w:szCs w:val="20"/>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09970A47" w14:textId="77777777" w:rsidR="00477529" w:rsidRDefault="00343D6B" w:rsidP="00477529">
      <w:pPr>
        <w:rPr>
          <w:rFonts w:cs="Arial"/>
          <w:szCs w:val="20"/>
        </w:rPr>
      </w:pPr>
      <w:r w:rsidRPr="00696E3A">
        <w:rPr>
          <w:b/>
          <w:bCs/>
        </w:rPr>
        <w:t>Default Approval Period:</w:t>
      </w:r>
      <w:r w:rsidR="00973BD6">
        <w:t xml:space="preserve"> </w:t>
      </w:r>
      <w:r w:rsidR="00477529">
        <w:rPr>
          <w:rFonts w:cs="Arial"/>
          <w:szCs w:val="20"/>
        </w:rPr>
        <w:t>6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lastRenderedPageBreak/>
        <w:t>References</w:t>
      </w:r>
    </w:p>
    <w:p w14:paraId="06484223"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Vijoice</w:t>
      </w:r>
      <w:r w:rsidRPr="006C145F">
        <w:rPr>
          <w:rFonts w:cs="Arial"/>
          <w:sz w:val="18"/>
          <w:szCs w:val="18"/>
          <w:shd w:val="clear" w:color="auto" w:fill="FFFFFF"/>
          <w:vertAlign w:val="superscript"/>
        </w:rPr>
        <w:t>®</w:t>
      </w:r>
      <w:r w:rsidRPr="006C145F">
        <w:rPr>
          <w:rFonts w:cs="Arial"/>
          <w:sz w:val="18"/>
          <w:szCs w:val="18"/>
          <w:shd w:val="clear" w:color="auto" w:fill="FFFFFF"/>
        </w:rPr>
        <w:t xml:space="preserve"> (alpelisib) [package insert].  East Hanover, New Jersey.  Novartis Pharmaceuticals Corporation.  </w:t>
      </w:r>
      <w:r>
        <w:rPr>
          <w:rFonts w:cs="Arial"/>
          <w:sz w:val="18"/>
          <w:szCs w:val="18"/>
          <w:shd w:val="clear" w:color="auto" w:fill="FFFFFF"/>
        </w:rPr>
        <w:t>July 2025.</w:t>
      </w:r>
    </w:p>
    <w:p w14:paraId="1D1DE0F4"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Piqray</w:t>
      </w:r>
      <w:r w:rsidRPr="006C145F">
        <w:rPr>
          <w:rFonts w:cs="Arial"/>
          <w:sz w:val="18"/>
          <w:szCs w:val="18"/>
          <w:shd w:val="clear" w:color="auto" w:fill="FFFFFF"/>
          <w:vertAlign w:val="superscript"/>
        </w:rPr>
        <w:t>®</w:t>
      </w:r>
      <w:r w:rsidRPr="006C145F">
        <w:rPr>
          <w:rFonts w:cs="Arial"/>
          <w:sz w:val="18"/>
          <w:szCs w:val="18"/>
          <w:shd w:val="clear" w:color="auto" w:fill="FFFFFF"/>
        </w:rPr>
        <w:t xml:space="preserve"> (alpelisib) [package insert].  East Hanover, New Jersey.  Novartis Pharmaceuticals Corporation.  January 2024.</w:t>
      </w:r>
    </w:p>
    <w:p w14:paraId="1E4BB8E0"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 xml:space="preserve">IPD Analytics.  Rx Insights: Endocrinology.  Vijoice for </w:t>
      </w:r>
      <w:r w:rsidRPr="006C145F">
        <w:rPr>
          <w:rFonts w:cs="Arial"/>
          <w:i/>
          <w:iCs/>
          <w:sz w:val="18"/>
          <w:szCs w:val="18"/>
          <w:shd w:val="clear" w:color="auto" w:fill="FFFFFF"/>
        </w:rPr>
        <w:t>PIK3CA</w:t>
      </w:r>
      <w:r w:rsidRPr="006C145F">
        <w:rPr>
          <w:rFonts w:cs="Arial"/>
          <w:sz w:val="18"/>
          <w:szCs w:val="18"/>
          <w:shd w:val="clear" w:color="auto" w:fill="FFFFFF"/>
        </w:rPr>
        <w:t>-Related Overgrowth Spectrum (PROS).  April 2022.</w:t>
      </w:r>
    </w:p>
    <w:p w14:paraId="5A0020BF"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 xml:space="preserve">National Organization for Rare Disorders.  </w:t>
      </w:r>
      <w:r w:rsidRPr="006C145F">
        <w:rPr>
          <w:rFonts w:cs="Arial"/>
          <w:i/>
          <w:iCs/>
          <w:sz w:val="18"/>
          <w:szCs w:val="18"/>
          <w:shd w:val="clear" w:color="auto" w:fill="FFFFFF"/>
        </w:rPr>
        <w:t>PIK3CA</w:t>
      </w:r>
      <w:r w:rsidRPr="006C145F">
        <w:rPr>
          <w:rFonts w:cs="Arial"/>
          <w:sz w:val="18"/>
          <w:szCs w:val="18"/>
          <w:shd w:val="clear" w:color="auto" w:fill="FFFFFF"/>
        </w:rPr>
        <w:t xml:space="preserve">-Related Overgrowth Spectrum.  Updated 2022.  </w:t>
      </w:r>
      <w:hyperlink r:id="rId11" w:anchor=":~:text=PIK3CA%2Drelated%20overgrowth%20spectrum%20(PROS,cell%20growth%2C%20division%20and%20survival." w:tooltip="Link To PIK3CA-Related Overgrowth Spectrum - NORD (National Organization for Rare Disorders) (rarediseases.org)" w:history="1">
        <w:r w:rsidRPr="006C145F">
          <w:rPr>
            <w:rStyle w:val="Hyperlink"/>
            <w:rFonts w:cs="Arial"/>
            <w:i/>
            <w:iCs/>
            <w:sz w:val="18"/>
            <w:szCs w:val="18"/>
          </w:rPr>
          <w:t>PIK3CA</w:t>
        </w:r>
        <w:r w:rsidRPr="006C145F">
          <w:rPr>
            <w:rStyle w:val="Hyperlink"/>
            <w:rFonts w:cs="Arial"/>
            <w:sz w:val="18"/>
            <w:szCs w:val="18"/>
          </w:rPr>
          <w:t>-Related Overgrowth Spectrum - NORD (National Organization for Rare Disorders) (rarediseases.org)</w:t>
        </w:r>
      </w:hyperlink>
      <w:r w:rsidRPr="006C145F">
        <w:rPr>
          <w:rFonts w:cs="Arial"/>
          <w:sz w:val="18"/>
          <w:szCs w:val="18"/>
        </w:rPr>
        <w:t>.  Accessed May 11, 2022.</w:t>
      </w:r>
    </w:p>
    <w:p w14:paraId="51F52224"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color w:val="303030"/>
          <w:sz w:val="18"/>
          <w:szCs w:val="18"/>
          <w:shd w:val="clear" w:color="auto" w:fill="FFFFFF"/>
        </w:rPr>
        <w:t>Keppler-Noreuil KM, Rios JJ, Parker VE, et al. PIK3CA-related overgrowth spectrum (PROS): diagnostic and testing eligibility criteria, differential diagnosis, and evaluation. </w:t>
      </w:r>
      <w:r w:rsidRPr="006C145F">
        <w:rPr>
          <w:rFonts w:cs="Arial"/>
          <w:i/>
          <w:iCs/>
          <w:color w:val="303030"/>
          <w:sz w:val="18"/>
          <w:szCs w:val="18"/>
          <w:shd w:val="clear" w:color="auto" w:fill="FFFFFF"/>
        </w:rPr>
        <w:t>Am J Med Genet A</w:t>
      </w:r>
      <w:r w:rsidRPr="006C145F">
        <w:rPr>
          <w:rFonts w:cs="Arial"/>
          <w:color w:val="303030"/>
          <w:sz w:val="18"/>
          <w:szCs w:val="18"/>
          <w:shd w:val="clear" w:color="auto" w:fill="FFFFFF"/>
        </w:rPr>
        <w:t xml:space="preserve">. 2015;167A(2):287-295. doi:10.1002/ajmg.a.36836.  </w:t>
      </w:r>
      <w:hyperlink r:id="rId12" w:tooltip="Link to PIK3CA-Related Overgrowth Spectrum (PROS): Diagnostic and Testing Eligibility Criteria, Differential Diagnosis, and Evaluation - PMC (nih.gov)" w:history="1">
        <w:r w:rsidRPr="006C145F">
          <w:rPr>
            <w:rStyle w:val="Hyperlink"/>
            <w:rFonts w:cs="Arial"/>
            <w:sz w:val="18"/>
            <w:szCs w:val="18"/>
          </w:rPr>
          <w:t>PIK3CA-Related Overgrowth Spectrum (PROS): Diagnostic and Testing Eligibility Criteria, Differential Diagnosis, and Evaluation - PMC (nih.gov)</w:t>
        </w:r>
      </w:hyperlink>
    </w:p>
    <w:p w14:paraId="442BA85A" w14:textId="77777777" w:rsidR="0084426E" w:rsidRPr="006C145F" w:rsidRDefault="0084426E" w:rsidP="0084426E">
      <w:pPr>
        <w:pStyle w:val="ListParagraph"/>
        <w:numPr>
          <w:ilvl w:val="0"/>
          <w:numId w:val="23"/>
        </w:numPr>
        <w:rPr>
          <w:rFonts w:cs="Arial"/>
          <w:sz w:val="18"/>
          <w:szCs w:val="18"/>
          <w:shd w:val="clear" w:color="auto" w:fill="FFFFFF"/>
        </w:rPr>
      </w:pPr>
      <w:r w:rsidRPr="00724D9D">
        <w:rPr>
          <w:rFonts w:cs="Arial"/>
          <w:sz w:val="18"/>
          <w:szCs w:val="18"/>
          <w:shd w:val="clear" w:color="auto" w:fill="FFFFFF"/>
          <w:lang w:val="it-IT"/>
        </w:rPr>
        <w:t xml:space="preserve">Pagliazzi A, Oranges T, Traficante G, et al.  </w:t>
      </w:r>
      <w:r w:rsidRPr="006C145F">
        <w:rPr>
          <w:rFonts w:cs="Arial"/>
          <w:i/>
          <w:iCs/>
          <w:sz w:val="18"/>
          <w:szCs w:val="18"/>
          <w:shd w:val="clear" w:color="auto" w:fill="FFFFFF"/>
        </w:rPr>
        <w:t>PIK3CA</w:t>
      </w:r>
      <w:r w:rsidRPr="006C145F">
        <w:rPr>
          <w:rFonts w:cs="Arial"/>
          <w:sz w:val="18"/>
          <w:szCs w:val="18"/>
          <w:shd w:val="clear" w:color="auto" w:fill="FFFFFF"/>
        </w:rPr>
        <w:t xml:space="preserve">-related overgrowth spectrum from diagnosis to targeted therapy: a case of CLOVES syndrome treated with alpelisib.  Front. Pediatr., 09 September 2021 | </w:t>
      </w:r>
      <w:hyperlink r:id="rId13" w:tooltip="Link to PIK3CA-related overgrowth spectrum from diagnosis to targeted therapy: a case of CLOVES syndrome treated with alpelisib." w:history="1">
        <w:r w:rsidRPr="006C145F">
          <w:rPr>
            <w:rStyle w:val="Hyperlink"/>
            <w:rFonts w:cs="Arial"/>
            <w:sz w:val="18"/>
            <w:szCs w:val="18"/>
            <w:shd w:val="clear" w:color="auto" w:fill="FFFFFF"/>
          </w:rPr>
          <w:t>https://doi.org/10.3389/fped.2021.732836</w:t>
        </w:r>
      </w:hyperlink>
      <w:r w:rsidRPr="006C145F">
        <w:rPr>
          <w:rFonts w:cs="Arial"/>
          <w:sz w:val="18"/>
          <w:szCs w:val="18"/>
          <w:shd w:val="clear" w:color="auto" w:fill="FFFFFF"/>
        </w:rPr>
        <w:t>.</w:t>
      </w:r>
    </w:p>
    <w:p w14:paraId="59E66667"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 xml:space="preserve">Novartis Pharmaceuticals Corporation.  </w:t>
      </w:r>
      <w:r w:rsidRPr="006C145F">
        <w:rPr>
          <w:rFonts w:cs="Arial"/>
          <w:i/>
          <w:iCs/>
          <w:sz w:val="18"/>
          <w:szCs w:val="18"/>
          <w:shd w:val="clear" w:color="auto" w:fill="FFFFFF"/>
        </w:rPr>
        <w:t>PIK3CA</w:t>
      </w:r>
      <w:r w:rsidRPr="006C145F">
        <w:rPr>
          <w:rFonts w:cs="Arial"/>
          <w:sz w:val="18"/>
          <w:szCs w:val="18"/>
          <w:shd w:val="clear" w:color="auto" w:fill="FFFFFF"/>
        </w:rPr>
        <w:t xml:space="preserve">-Related Overgrowth Spectrum (PROS).  Updated April 2021.  </w:t>
      </w:r>
      <w:hyperlink r:id="rId14" w:tooltip="Link to PIK3CA-Related Overgrowth Spectrum (PROS) (prosspectrum.com)" w:history="1">
        <w:r w:rsidRPr="006C145F">
          <w:rPr>
            <w:rStyle w:val="Hyperlink"/>
            <w:rFonts w:cs="Arial"/>
            <w:i/>
            <w:iCs/>
            <w:sz w:val="18"/>
            <w:szCs w:val="18"/>
          </w:rPr>
          <w:t>PIK3CA</w:t>
        </w:r>
        <w:r w:rsidRPr="006C145F">
          <w:rPr>
            <w:rStyle w:val="Hyperlink"/>
            <w:rFonts w:cs="Arial"/>
            <w:sz w:val="18"/>
            <w:szCs w:val="18"/>
          </w:rPr>
          <w:t>-Related Overgrowth Spectrum (PROS) (prosspectrum.com)</w:t>
        </w:r>
      </w:hyperlink>
      <w:r w:rsidRPr="006C145F">
        <w:rPr>
          <w:rFonts w:cs="Arial"/>
          <w:sz w:val="18"/>
          <w:szCs w:val="18"/>
        </w:rPr>
        <w:t xml:space="preserve">.  </w:t>
      </w:r>
      <w:r w:rsidRPr="006C145F">
        <w:rPr>
          <w:rFonts w:cs="Arial"/>
          <w:sz w:val="18"/>
          <w:szCs w:val="18"/>
          <w:shd w:val="clear" w:color="auto" w:fill="FFFFFF"/>
        </w:rPr>
        <w:t xml:space="preserve">Accessed May 11, 2022. </w:t>
      </w:r>
    </w:p>
    <w:p w14:paraId="76F351DC" w14:textId="77777777" w:rsidR="0084426E" w:rsidRPr="006C145F" w:rsidRDefault="0084426E" w:rsidP="0084426E">
      <w:pPr>
        <w:pStyle w:val="ListParagraph"/>
        <w:numPr>
          <w:ilvl w:val="0"/>
          <w:numId w:val="23"/>
        </w:numPr>
        <w:rPr>
          <w:rFonts w:cs="Arial"/>
          <w:sz w:val="18"/>
          <w:szCs w:val="18"/>
          <w:shd w:val="clear" w:color="auto" w:fill="FFFFFF"/>
        </w:rPr>
      </w:pPr>
      <w:r w:rsidRPr="006C145F">
        <w:rPr>
          <w:rFonts w:cs="Arial"/>
          <w:sz w:val="18"/>
          <w:szCs w:val="18"/>
          <w:shd w:val="clear" w:color="auto" w:fill="FFFFFF"/>
        </w:rPr>
        <w:t>Novartis Pharmaceuticals Corporation.  VIJOICE</w:t>
      </w:r>
      <w:r w:rsidRPr="006C145F">
        <w:rPr>
          <w:rFonts w:cs="Arial"/>
          <w:sz w:val="18"/>
          <w:szCs w:val="18"/>
          <w:shd w:val="clear" w:color="auto" w:fill="FFFFFF"/>
          <w:vertAlign w:val="superscript"/>
        </w:rPr>
        <w:t>®</w:t>
      </w:r>
      <w:r w:rsidRPr="006C145F">
        <w:rPr>
          <w:rFonts w:cs="Arial"/>
          <w:sz w:val="18"/>
          <w:szCs w:val="18"/>
          <w:shd w:val="clear" w:color="auto" w:fill="FFFFFF"/>
        </w:rPr>
        <w:t xml:space="preserve"> (alpelisib) tablets for PROS Treatment.  Updated March 2022.  </w:t>
      </w:r>
      <w:hyperlink r:id="rId15" w:tooltip="Link to VIJOICE® (alpelisib) tablets for PROS Treatment | HCP (novartis.com)" w:history="1">
        <w:r w:rsidRPr="006C145F">
          <w:rPr>
            <w:rStyle w:val="Hyperlink"/>
            <w:rFonts w:cs="Arial"/>
            <w:sz w:val="18"/>
            <w:szCs w:val="18"/>
          </w:rPr>
          <w:t>VIJOICE® (alpelisib) tablets for PROS Treatment | HCP (novartis.com)</w:t>
        </w:r>
      </w:hyperlink>
      <w:r w:rsidRPr="006C145F">
        <w:rPr>
          <w:rFonts w:cs="Arial"/>
          <w:sz w:val="18"/>
          <w:szCs w:val="18"/>
        </w:rPr>
        <w:t>.  Accessed May 11, 2022.</w:t>
      </w:r>
    </w:p>
    <w:p w14:paraId="6F9859F5" w14:textId="77777777" w:rsidR="0084426E" w:rsidRPr="006C145F" w:rsidRDefault="0084426E" w:rsidP="0084426E">
      <w:pPr>
        <w:pStyle w:val="ListParagraph"/>
        <w:numPr>
          <w:ilvl w:val="0"/>
          <w:numId w:val="23"/>
        </w:numPr>
        <w:rPr>
          <w:rFonts w:cs="Arial"/>
          <w:sz w:val="18"/>
          <w:szCs w:val="18"/>
          <w:shd w:val="clear" w:color="auto" w:fill="FFFFFF"/>
        </w:rPr>
      </w:pPr>
      <w:r w:rsidRPr="00724D9D">
        <w:rPr>
          <w:rFonts w:cs="Arial"/>
          <w:sz w:val="18"/>
          <w:szCs w:val="18"/>
          <w:lang w:val="es-US"/>
        </w:rPr>
        <w:t xml:space="preserve">Canaud G, Lopez Gutierrez JC, Irvine A, et al. </w:t>
      </w:r>
      <w:r w:rsidRPr="006C145F">
        <w:rPr>
          <w:rFonts w:cs="Arial"/>
          <w:sz w:val="18"/>
          <w:szCs w:val="18"/>
        </w:rPr>
        <w:t xml:space="preserve">EPIK-P1: Retrospective chart review study of patients with </w:t>
      </w:r>
      <w:r w:rsidRPr="006C145F">
        <w:rPr>
          <w:rFonts w:cs="Arial"/>
          <w:i/>
          <w:iCs/>
          <w:sz w:val="18"/>
          <w:szCs w:val="18"/>
        </w:rPr>
        <w:t>PIK3CA</w:t>
      </w:r>
      <w:r w:rsidRPr="006C145F">
        <w:rPr>
          <w:rFonts w:cs="Arial"/>
          <w:sz w:val="18"/>
          <w:szCs w:val="18"/>
        </w:rPr>
        <w:t xml:space="preserve">-related overgrowth spectrum who have received alpelisib as part of a compassionate use programme. Presented at the 2021 ESMO Virtual Congress; September 17–21, 2021. </w:t>
      </w:r>
      <w:hyperlink r:id="rId16" w:tooltip="Link to ESMO Congress 2021 Speakers Template (novartisoncology.com)" w:history="1">
        <w:r w:rsidRPr="006C145F">
          <w:rPr>
            <w:rStyle w:val="Hyperlink"/>
            <w:rFonts w:cs="Arial"/>
            <w:sz w:val="18"/>
            <w:szCs w:val="18"/>
          </w:rPr>
          <w:t>ESMO Congress 2021 Speakers Template (novartisoncology.com)</w:t>
        </w:r>
      </w:hyperlink>
      <w:r w:rsidRPr="006C145F">
        <w:rPr>
          <w:rFonts w:cs="Arial"/>
          <w:sz w:val="18"/>
          <w:szCs w:val="18"/>
        </w:rPr>
        <w:t>.  Accessed May 11, 2022.</w:t>
      </w:r>
    </w:p>
    <w:p w14:paraId="3FA1E7DB" w14:textId="4216F881" w:rsidR="00777CA4" w:rsidRPr="00C3693E" w:rsidRDefault="00777CA4" w:rsidP="0084426E">
      <w:pPr>
        <w:pStyle w:val="ListParagraph"/>
        <w:numPr>
          <w:ilvl w:val="0"/>
          <w:numId w:val="0"/>
        </w:numPr>
        <w:ind w:left="360"/>
        <w:rPr>
          <w:shd w:val="clear" w:color="auto" w:fill="FFFFFF"/>
        </w:rPr>
      </w:pPr>
    </w:p>
    <w:sectPr w:rsidR="00777CA4" w:rsidRPr="00C3693E" w:rsidSect="00AB0B9F">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354D" w14:textId="77777777" w:rsidR="004C35DE" w:rsidRPr="00C02553" w:rsidRDefault="004C35DE" w:rsidP="00AE77DB">
      <w:r w:rsidRPr="00C02553">
        <w:separator/>
      </w:r>
    </w:p>
  </w:endnote>
  <w:endnote w:type="continuationSeparator" w:id="0">
    <w:p w14:paraId="1A20022E" w14:textId="77777777" w:rsidR="004C35DE" w:rsidRPr="00C02553" w:rsidRDefault="004C35DE" w:rsidP="00AE77DB">
      <w:r w:rsidRPr="00C02553">
        <w:continuationSeparator/>
      </w:r>
    </w:p>
  </w:endnote>
  <w:endnote w:type="continuationNotice" w:id="1">
    <w:p w14:paraId="7CB6E919" w14:textId="77777777" w:rsidR="004C35DE" w:rsidRPr="00C02553" w:rsidRDefault="004C3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E16D1" w14:textId="77777777" w:rsidR="004C35DE" w:rsidRPr="00C02553" w:rsidRDefault="004C35DE" w:rsidP="00AE77DB">
      <w:r w:rsidRPr="00C02553">
        <w:separator/>
      </w:r>
    </w:p>
  </w:footnote>
  <w:footnote w:type="continuationSeparator" w:id="0">
    <w:p w14:paraId="5B7B370A" w14:textId="77777777" w:rsidR="004C35DE" w:rsidRPr="00C02553" w:rsidRDefault="004C35DE" w:rsidP="00AE77DB">
      <w:r w:rsidRPr="00C02553">
        <w:continuationSeparator/>
      </w:r>
    </w:p>
  </w:footnote>
  <w:footnote w:type="continuationNotice" w:id="1">
    <w:p w14:paraId="64A25A9A" w14:textId="77777777" w:rsidR="004C35DE" w:rsidRPr="00C02553" w:rsidRDefault="004C3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10314F"/>
    <w:multiLevelType w:val="hybridMultilevel"/>
    <w:tmpl w:val="C37E6A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146A73"/>
    <w:multiLevelType w:val="hybridMultilevel"/>
    <w:tmpl w:val="2C10A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B37B0"/>
    <w:multiLevelType w:val="hybridMultilevel"/>
    <w:tmpl w:val="4A367D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8"/>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9"/>
  </w:num>
  <w:num w:numId="11" w16cid:durableId="1894998475">
    <w:abstractNumId w:val="1"/>
  </w:num>
  <w:num w:numId="12" w16cid:durableId="1418215296">
    <w:abstractNumId w:val="18"/>
  </w:num>
  <w:num w:numId="13" w16cid:durableId="604729665">
    <w:abstractNumId w:val="5"/>
  </w:num>
  <w:num w:numId="14" w16cid:durableId="1805081292">
    <w:abstractNumId w:val="14"/>
  </w:num>
  <w:num w:numId="15" w16cid:durableId="1911186802">
    <w:abstractNumId w:val="6"/>
  </w:num>
  <w:num w:numId="16" w16cid:durableId="1014304344">
    <w:abstractNumId w:val="19"/>
  </w:num>
  <w:num w:numId="17" w16cid:durableId="1397899452">
    <w:abstractNumId w:val="16"/>
  </w:num>
  <w:num w:numId="18" w16cid:durableId="279147771">
    <w:abstractNumId w:val="17"/>
  </w:num>
  <w:num w:numId="19" w16cid:durableId="69162268">
    <w:abstractNumId w:val="20"/>
  </w:num>
  <w:num w:numId="20" w16cid:durableId="404764218">
    <w:abstractNumId w:val="12"/>
  </w:num>
  <w:num w:numId="21" w16cid:durableId="9068805">
    <w:abstractNumId w:val="10"/>
  </w:num>
  <w:num w:numId="22" w16cid:durableId="268006540">
    <w:abstractNumId w:val="15"/>
  </w:num>
  <w:num w:numId="23" w16cid:durableId="45915245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533A"/>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1B45"/>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403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0EF4"/>
    <w:rsid w:val="00222134"/>
    <w:rsid w:val="0022233F"/>
    <w:rsid w:val="00222EE6"/>
    <w:rsid w:val="00226275"/>
    <w:rsid w:val="00246564"/>
    <w:rsid w:val="00246A3B"/>
    <w:rsid w:val="00250FBF"/>
    <w:rsid w:val="00255404"/>
    <w:rsid w:val="0025594F"/>
    <w:rsid w:val="00270C5E"/>
    <w:rsid w:val="00272107"/>
    <w:rsid w:val="00290A03"/>
    <w:rsid w:val="0029159A"/>
    <w:rsid w:val="00291600"/>
    <w:rsid w:val="00297679"/>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276BF"/>
    <w:rsid w:val="00330DD4"/>
    <w:rsid w:val="003345D2"/>
    <w:rsid w:val="003355AC"/>
    <w:rsid w:val="00336229"/>
    <w:rsid w:val="00343D6B"/>
    <w:rsid w:val="00346090"/>
    <w:rsid w:val="00347FB5"/>
    <w:rsid w:val="00351E4B"/>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1BFE"/>
    <w:rsid w:val="0046618B"/>
    <w:rsid w:val="00477529"/>
    <w:rsid w:val="0048608C"/>
    <w:rsid w:val="00496E57"/>
    <w:rsid w:val="004A4511"/>
    <w:rsid w:val="004B3E10"/>
    <w:rsid w:val="004C0F5D"/>
    <w:rsid w:val="004C2B30"/>
    <w:rsid w:val="004C35DE"/>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4C8A"/>
    <w:rsid w:val="00515075"/>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936"/>
    <w:rsid w:val="005A2F1E"/>
    <w:rsid w:val="005A4232"/>
    <w:rsid w:val="005C3616"/>
    <w:rsid w:val="005C6E93"/>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732"/>
    <w:rsid w:val="00677C65"/>
    <w:rsid w:val="00693152"/>
    <w:rsid w:val="00694FAE"/>
    <w:rsid w:val="00696E3A"/>
    <w:rsid w:val="006A0834"/>
    <w:rsid w:val="006A4BBD"/>
    <w:rsid w:val="006A52F1"/>
    <w:rsid w:val="006B561D"/>
    <w:rsid w:val="006B6D5D"/>
    <w:rsid w:val="006D2330"/>
    <w:rsid w:val="006D4731"/>
    <w:rsid w:val="006E0F8B"/>
    <w:rsid w:val="006E12F7"/>
    <w:rsid w:val="006E29D7"/>
    <w:rsid w:val="007068A4"/>
    <w:rsid w:val="00706D67"/>
    <w:rsid w:val="00713052"/>
    <w:rsid w:val="00721367"/>
    <w:rsid w:val="007231FA"/>
    <w:rsid w:val="00732C67"/>
    <w:rsid w:val="00734418"/>
    <w:rsid w:val="00736B9C"/>
    <w:rsid w:val="007422A1"/>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D16D1"/>
    <w:rsid w:val="007D2920"/>
    <w:rsid w:val="007D42DD"/>
    <w:rsid w:val="007E6A37"/>
    <w:rsid w:val="007F1774"/>
    <w:rsid w:val="007F593C"/>
    <w:rsid w:val="007F601E"/>
    <w:rsid w:val="00811A70"/>
    <w:rsid w:val="0081406E"/>
    <w:rsid w:val="00824F97"/>
    <w:rsid w:val="00832211"/>
    <w:rsid w:val="008325F4"/>
    <w:rsid w:val="00832AC8"/>
    <w:rsid w:val="0084222E"/>
    <w:rsid w:val="0084426E"/>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15FEB"/>
    <w:rsid w:val="009204BB"/>
    <w:rsid w:val="00935918"/>
    <w:rsid w:val="00935EC3"/>
    <w:rsid w:val="00951097"/>
    <w:rsid w:val="00952592"/>
    <w:rsid w:val="00953C1E"/>
    <w:rsid w:val="0096210F"/>
    <w:rsid w:val="00962633"/>
    <w:rsid w:val="00963187"/>
    <w:rsid w:val="00963ACF"/>
    <w:rsid w:val="00963D1C"/>
    <w:rsid w:val="00964284"/>
    <w:rsid w:val="0097028A"/>
    <w:rsid w:val="00973BD6"/>
    <w:rsid w:val="00981BAC"/>
    <w:rsid w:val="00984549"/>
    <w:rsid w:val="00985D28"/>
    <w:rsid w:val="00991BF0"/>
    <w:rsid w:val="00992EA3"/>
    <w:rsid w:val="009A0FB1"/>
    <w:rsid w:val="009A1FAC"/>
    <w:rsid w:val="009B001A"/>
    <w:rsid w:val="009B1A62"/>
    <w:rsid w:val="009B40CF"/>
    <w:rsid w:val="009C3CC7"/>
    <w:rsid w:val="009D2057"/>
    <w:rsid w:val="009D3D6C"/>
    <w:rsid w:val="009D5551"/>
    <w:rsid w:val="009D62DB"/>
    <w:rsid w:val="009E3B42"/>
    <w:rsid w:val="009F518A"/>
    <w:rsid w:val="00A02AF6"/>
    <w:rsid w:val="00A02DA5"/>
    <w:rsid w:val="00A05B60"/>
    <w:rsid w:val="00A13266"/>
    <w:rsid w:val="00A14FA6"/>
    <w:rsid w:val="00A15D64"/>
    <w:rsid w:val="00A20575"/>
    <w:rsid w:val="00A32452"/>
    <w:rsid w:val="00A325CC"/>
    <w:rsid w:val="00A32BBF"/>
    <w:rsid w:val="00A37444"/>
    <w:rsid w:val="00A4145C"/>
    <w:rsid w:val="00A4281A"/>
    <w:rsid w:val="00A459CF"/>
    <w:rsid w:val="00A5014D"/>
    <w:rsid w:val="00A53E96"/>
    <w:rsid w:val="00A56F18"/>
    <w:rsid w:val="00A628F8"/>
    <w:rsid w:val="00A62BAA"/>
    <w:rsid w:val="00A66172"/>
    <w:rsid w:val="00A6690B"/>
    <w:rsid w:val="00A744C3"/>
    <w:rsid w:val="00AA70AB"/>
    <w:rsid w:val="00AB0B9F"/>
    <w:rsid w:val="00AB1713"/>
    <w:rsid w:val="00AB2D17"/>
    <w:rsid w:val="00AB63BE"/>
    <w:rsid w:val="00AC1EBC"/>
    <w:rsid w:val="00AC2599"/>
    <w:rsid w:val="00AC2DE9"/>
    <w:rsid w:val="00AC3CD9"/>
    <w:rsid w:val="00AD2C5F"/>
    <w:rsid w:val="00AE1481"/>
    <w:rsid w:val="00AE27F9"/>
    <w:rsid w:val="00AE47DA"/>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2586C"/>
    <w:rsid w:val="00C26001"/>
    <w:rsid w:val="00C34E72"/>
    <w:rsid w:val="00C3693E"/>
    <w:rsid w:val="00C56B1F"/>
    <w:rsid w:val="00C61B52"/>
    <w:rsid w:val="00C62745"/>
    <w:rsid w:val="00C654CA"/>
    <w:rsid w:val="00C763BD"/>
    <w:rsid w:val="00C779A8"/>
    <w:rsid w:val="00C82E19"/>
    <w:rsid w:val="00C96873"/>
    <w:rsid w:val="00CA1735"/>
    <w:rsid w:val="00CA207E"/>
    <w:rsid w:val="00CA25EB"/>
    <w:rsid w:val="00CA3C4B"/>
    <w:rsid w:val="00CA721C"/>
    <w:rsid w:val="00CA7252"/>
    <w:rsid w:val="00CB2C5A"/>
    <w:rsid w:val="00CB689E"/>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7996"/>
    <w:rsid w:val="00D50C35"/>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D778E"/>
    <w:rsid w:val="00DE0AE9"/>
    <w:rsid w:val="00DE1388"/>
    <w:rsid w:val="00DE1E02"/>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838"/>
    <w:rsid w:val="00E873A5"/>
    <w:rsid w:val="00E90D11"/>
    <w:rsid w:val="00E915E5"/>
    <w:rsid w:val="00EB0367"/>
    <w:rsid w:val="00EB4FB9"/>
    <w:rsid w:val="00EB5B23"/>
    <w:rsid w:val="00EB5BC8"/>
    <w:rsid w:val="00EC2738"/>
    <w:rsid w:val="00ED1E00"/>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BD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 w:type="character" w:styleId="CommentReference">
    <w:name w:val="annotation reference"/>
    <w:basedOn w:val="DefaultParagraphFont"/>
    <w:uiPriority w:val="99"/>
    <w:semiHidden/>
    <w:unhideWhenUsed/>
    <w:rsid w:val="00EB5B23"/>
    <w:rPr>
      <w:sz w:val="16"/>
      <w:szCs w:val="16"/>
    </w:rPr>
  </w:style>
  <w:style w:type="paragraph" w:styleId="CommentSubject">
    <w:name w:val="annotation subject"/>
    <w:basedOn w:val="CommentText"/>
    <w:next w:val="CommentText"/>
    <w:link w:val="CommentSubjectChar"/>
    <w:uiPriority w:val="99"/>
    <w:semiHidden/>
    <w:unhideWhenUsed/>
    <w:rsid w:val="00EB5B23"/>
    <w:rPr>
      <w:b/>
      <w:bCs/>
    </w:rPr>
  </w:style>
  <w:style w:type="character" w:customStyle="1" w:styleId="CommentSubjectChar">
    <w:name w:val="Comment Subject Char"/>
    <w:basedOn w:val="CommentTextChar"/>
    <w:link w:val="CommentSubject"/>
    <w:uiPriority w:val="99"/>
    <w:semiHidden/>
    <w:rsid w:val="00EB5B2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89/fped.2021.73283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cbi.nlm.nih.gov/pmc/articles/PMC448063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edicalcongress.novartisoncology.com/QRGESMO/PROS/pdf/Canaud_Oral_%20LBA23.pdf?msclkid=11ff3feed16911ecb3df7a7113a0b77b"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rediseases.org/rare-diseases/pik3ca-related-overgrowth-spectrum/"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cp.novartis.com/products/vijoice/pik3ca-related-overgrowth-spectru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sspectrum.com/"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37945538-7B61-4FD9-843F-0D3B542F3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Alpelisib_WEB_Proposal</dc:title>
  <dc:subject/>
  <dc:creator>DMS</dc:creator>
  <cp:keywords/>
  <cp:lastModifiedBy>Heriford, Katherine</cp:lastModifiedBy>
  <cp:revision>2</cp:revision>
  <cp:lastPrinted>2018-10-31T18:17:00Z</cp:lastPrinted>
  <dcterms:created xsi:type="dcterms:W3CDTF">2026-02-18T23:22:00Z</dcterms:created>
  <dcterms:modified xsi:type="dcterms:W3CDTF">2026-02-18T23:22:00Z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