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0BDD82F" w:rsidR="004C5767" w:rsidRPr="008859E1" w:rsidRDefault="004C5767" w:rsidP="00D27533">
      <w:pPr>
        <w:pStyle w:val="tbody"/>
        <w:rPr>
          <w:b w:val="0"/>
          <w:bCs/>
        </w:rPr>
      </w:pPr>
      <w:r w:rsidRPr="00C02553">
        <w:t>Drug/Drug Class:</w:t>
      </w:r>
      <w:r w:rsidR="003B4820" w:rsidRPr="00573856">
        <w:rPr>
          <w:b w:val="0"/>
          <w:bCs/>
        </w:rPr>
        <w:t xml:space="preserve"> </w:t>
      </w:r>
      <w:r w:rsidR="00A42559" w:rsidRPr="00A42559">
        <w:rPr>
          <w:b w:val="0"/>
          <w:bCs/>
        </w:rPr>
        <w:t>Skeletal Muscle Relaxants PDL Edit</w:t>
      </w:r>
    </w:p>
    <w:p w14:paraId="7AD7FFCE" w14:textId="287A1BA5" w:rsidR="004C5767" w:rsidRPr="00C02553" w:rsidRDefault="004C5767" w:rsidP="00D27533">
      <w:pPr>
        <w:pStyle w:val="tbody"/>
      </w:pPr>
      <w:r w:rsidRPr="00C02553">
        <w:t>First Implementation Date:</w:t>
      </w:r>
      <w:r w:rsidRPr="00573856">
        <w:rPr>
          <w:b w:val="0"/>
          <w:bCs/>
        </w:rPr>
        <w:t xml:space="preserve"> </w:t>
      </w:r>
      <w:r w:rsidR="0063388A" w:rsidRPr="0063388A">
        <w:rPr>
          <w:b w:val="0"/>
          <w:bCs/>
        </w:rPr>
        <w:t>December 24, 2008</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466CAFC" w:rsidR="004C5767" w:rsidRPr="00D27533" w:rsidRDefault="004C5767" w:rsidP="00D27533">
      <w:pPr>
        <w:pStyle w:val="tbody"/>
        <w:rPr>
          <w:b w:val="0"/>
          <w:bCs/>
          <w:spacing w:val="-3"/>
        </w:rPr>
      </w:pPr>
      <w:r w:rsidRPr="00C02553">
        <w:t>Criteria Status:</w:t>
      </w:r>
      <w:r w:rsidR="00A459FD">
        <w:t xml:space="preserve"> </w:t>
      </w:r>
      <w:r w:rsidR="00A459FD" w:rsidRPr="00A459FD">
        <w:rPr>
          <w:b w:val="0"/>
          <w:bCs/>
        </w:rPr>
        <w:t>Revision of</w:t>
      </w:r>
      <w:r w:rsidRPr="00C02553">
        <w:t xml:space="preserve">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386D7D94" w14:textId="77777777" w:rsidR="00521860" w:rsidRDefault="00521860" w:rsidP="00521860">
      <w:pPr>
        <w:pStyle w:val="Header"/>
        <w:tabs>
          <w:tab w:val="clear" w:pos="4320"/>
          <w:tab w:val="clear" w:pos="8640"/>
        </w:tabs>
        <w:rPr>
          <w:rFonts w:cs="Arial"/>
          <w:spacing w:val="-3"/>
          <w:sz w:val="20"/>
        </w:rPr>
      </w:pPr>
      <w:r w:rsidRPr="00FC6FD7">
        <w:rPr>
          <w:rFonts w:cs="Arial"/>
          <w:spacing w:val="-3"/>
          <w:sz w:val="20"/>
        </w:rPr>
        <w:t xml:space="preserve">Skeletal muscle relaxants are FDA approved to treat two different types of conditions:  muscular pain or spasms from peripheral musculoskeletal conditions and spasticity from upper motor neuron syndromes.  Both conditions affect patients’ mobility and can affect independence in activities of daily living and work.  Common musculoskeletal conditions include low back pain, neck pain, tension headaches, and myofascial pain syndrome.  Spasticity is a major health concern in a number of disease </w:t>
      </w:r>
      <w:r w:rsidRPr="00FC6FD7">
        <w:rPr>
          <w:rFonts w:cs="Arial"/>
          <w:noProof/>
          <w:spacing w:val="-3"/>
          <w:sz w:val="20"/>
        </w:rPr>
        <w:t>entities</w:t>
      </w:r>
      <w:r>
        <w:rPr>
          <w:rFonts w:cs="Arial"/>
          <w:noProof/>
          <w:spacing w:val="-3"/>
          <w:sz w:val="20"/>
        </w:rPr>
        <w:t>,</w:t>
      </w:r>
      <w:r w:rsidRPr="00FC6FD7">
        <w:rPr>
          <w:rFonts w:cs="Arial"/>
          <w:spacing w:val="-3"/>
          <w:sz w:val="20"/>
        </w:rPr>
        <w:t xml:space="preserve"> such as spinal cord injury, multiple sclerosis, and stroke.  Spasticity may also cause pain, loss of range of motion, contractures, sleep </w:t>
      </w:r>
      <w:r w:rsidRPr="00FC6FD7">
        <w:rPr>
          <w:rFonts w:cs="Arial"/>
          <w:noProof/>
          <w:spacing w:val="-3"/>
          <w:sz w:val="20"/>
        </w:rPr>
        <w:t>disorders</w:t>
      </w:r>
      <w:r>
        <w:rPr>
          <w:rFonts w:cs="Arial"/>
          <w:noProof/>
          <w:spacing w:val="-3"/>
          <w:sz w:val="20"/>
        </w:rPr>
        <w:t>,</w:t>
      </w:r>
      <w:r w:rsidRPr="00FC6FD7">
        <w:rPr>
          <w:rFonts w:cs="Arial"/>
          <w:spacing w:val="-3"/>
          <w:sz w:val="20"/>
        </w:rPr>
        <w:t xml:space="preserve"> and impair</w:t>
      </w:r>
      <w:r>
        <w:rPr>
          <w:rFonts w:cs="Arial"/>
          <w:spacing w:val="-3"/>
          <w:sz w:val="20"/>
        </w:rPr>
        <w:t>ed</w:t>
      </w:r>
      <w:r w:rsidRPr="00FC6FD7">
        <w:rPr>
          <w:rFonts w:cs="Arial"/>
          <w:spacing w:val="-3"/>
          <w:sz w:val="20"/>
        </w:rPr>
        <w:t xml:space="preserve"> ambulation.</w:t>
      </w:r>
    </w:p>
    <w:p w14:paraId="634BD6E1" w14:textId="77777777" w:rsidR="00521860" w:rsidRPr="00FC6FD7" w:rsidRDefault="00521860" w:rsidP="00521860">
      <w:pPr>
        <w:pStyle w:val="Header"/>
        <w:tabs>
          <w:tab w:val="clear" w:pos="4320"/>
          <w:tab w:val="clear" w:pos="8640"/>
        </w:tabs>
        <w:rPr>
          <w:rFonts w:cs="Arial"/>
          <w:spacing w:val="-3"/>
          <w:sz w:val="20"/>
        </w:rPr>
      </w:pPr>
    </w:p>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595EBA16" w14:textId="77777777" w:rsidR="00176BCC" w:rsidRPr="00176BCC" w:rsidRDefault="00176BCC" w:rsidP="00176BCC">
      <w:pPr>
        <w:numPr>
          <w:ilvl w:val="0"/>
          <w:numId w:val="15"/>
        </w:numPr>
        <w:tabs>
          <w:tab w:val="num" w:pos="1800"/>
        </w:tabs>
      </w:pPr>
      <w:r w:rsidRPr="00176BCC">
        <w:t>Baclofen 5, 10, 20 mg Tabs</w:t>
      </w:r>
    </w:p>
    <w:p w14:paraId="2215D2E2" w14:textId="77777777" w:rsidR="00176BCC" w:rsidRPr="00176BCC" w:rsidRDefault="00176BCC" w:rsidP="00176BCC">
      <w:pPr>
        <w:numPr>
          <w:ilvl w:val="0"/>
          <w:numId w:val="15"/>
        </w:numPr>
        <w:tabs>
          <w:tab w:val="num" w:pos="1800"/>
        </w:tabs>
      </w:pPr>
      <w:r w:rsidRPr="00176BCC">
        <w:t>Chlorzoxazone 500 mg</w:t>
      </w:r>
    </w:p>
    <w:p w14:paraId="3A47E95D" w14:textId="77777777" w:rsidR="00176BCC" w:rsidRPr="00176BCC" w:rsidRDefault="00176BCC" w:rsidP="00176BCC">
      <w:pPr>
        <w:numPr>
          <w:ilvl w:val="0"/>
          <w:numId w:val="15"/>
        </w:numPr>
        <w:tabs>
          <w:tab w:val="num" w:pos="1800"/>
        </w:tabs>
      </w:pPr>
      <w:r w:rsidRPr="00176BCC">
        <w:t>Cyclobenzaprine Tabs (gen Flexeril</w:t>
      </w:r>
      <w:r w:rsidRPr="00176BCC">
        <w:rPr>
          <w:vertAlign w:val="superscript"/>
        </w:rPr>
        <w:t>®</w:t>
      </w:r>
      <w:r w:rsidRPr="00176BCC">
        <w:t>)</w:t>
      </w:r>
    </w:p>
    <w:p w14:paraId="73D076A3" w14:textId="77777777" w:rsidR="00176BCC" w:rsidRPr="00176BCC" w:rsidRDefault="00176BCC" w:rsidP="00176BCC">
      <w:pPr>
        <w:numPr>
          <w:ilvl w:val="0"/>
          <w:numId w:val="15"/>
        </w:numPr>
      </w:pPr>
      <w:r w:rsidRPr="00176BCC">
        <w:t>Dantrolene</w:t>
      </w:r>
    </w:p>
    <w:p w14:paraId="1F6453F6" w14:textId="77777777" w:rsidR="00176BCC" w:rsidRPr="00176BCC" w:rsidRDefault="00176BCC" w:rsidP="00176BCC">
      <w:pPr>
        <w:numPr>
          <w:ilvl w:val="0"/>
          <w:numId w:val="15"/>
        </w:numPr>
        <w:tabs>
          <w:tab w:val="num" w:pos="1800"/>
        </w:tabs>
      </w:pPr>
      <w:r w:rsidRPr="00176BCC">
        <w:t xml:space="preserve">Methocarbamol </w:t>
      </w:r>
    </w:p>
    <w:p w14:paraId="7DA1A25D" w14:textId="77777777" w:rsidR="00176BCC" w:rsidRDefault="00176BCC" w:rsidP="00176BCC">
      <w:pPr>
        <w:numPr>
          <w:ilvl w:val="0"/>
          <w:numId w:val="15"/>
        </w:numPr>
        <w:tabs>
          <w:tab w:val="num" w:pos="1800"/>
        </w:tabs>
      </w:pPr>
      <w:r w:rsidRPr="00176BCC">
        <w:t xml:space="preserve">Orphenadrine ER </w:t>
      </w:r>
    </w:p>
    <w:p w14:paraId="1B8ECC93" w14:textId="67E95653" w:rsidR="00FD294A" w:rsidRDefault="00176BCC" w:rsidP="00176BCC">
      <w:pPr>
        <w:numPr>
          <w:ilvl w:val="0"/>
          <w:numId w:val="15"/>
        </w:numPr>
        <w:tabs>
          <w:tab w:val="num" w:pos="1800"/>
        </w:tabs>
      </w:pPr>
      <w:r w:rsidRPr="00176BCC">
        <w:t>Tizanidine Tabs</w:t>
      </w:r>
    </w:p>
    <w:p w14:paraId="486272F7" w14:textId="77777777" w:rsidR="00176BCC" w:rsidRPr="00FD294A" w:rsidRDefault="00176BCC" w:rsidP="00176BCC">
      <w:pPr>
        <w:ind w:left="360"/>
      </w:pPr>
    </w:p>
    <w:p w14:paraId="56404718" w14:textId="252714AD" w:rsidR="00846FA4" w:rsidRDefault="00846FA4" w:rsidP="00846FA4">
      <w:pPr>
        <w:rPr>
          <w:b/>
          <w:bCs/>
        </w:rPr>
      </w:pPr>
      <w:r>
        <w:rPr>
          <w:b/>
          <w:bCs/>
        </w:rPr>
        <w:t>Non-Preferred Agents:</w:t>
      </w:r>
    </w:p>
    <w:p w14:paraId="1AF095A9" w14:textId="77777777" w:rsidR="00596C42" w:rsidRPr="0051054C" w:rsidRDefault="00596C42" w:rsidP="00596C42">
      <w:pPr>
        <w:pStyle w:val="ListParagraph"/>
        <w:numPr>
          <w:ilvl w:val="0"/>
          <w:numId w:val="15"/>
        </w:numPr>
        <w:rPr>
          <w:rFonts w:cs="Arial"/>
          <w:szCs w:val="20"/>
        </w:rPr>
      </w:pPr>
      <w:r>
        <w:rPr>
          <w:rFonts w:cs="Arial"/>
          <w:szCs w:val="20"/>
        </w:rPr>
        <w:t>Amrix</w:t>
      </w:r>
      <w:r w:rsidRPr="00954652">
        <w:rPr>
          <w:rFonts w:cs="Arial"/>
          <w:szCs w:val="20"/>
          <w:vertAlign w:val="superscript"/>
        </w:rPr>
        <w:t>®</w:t>
      </w:r>
    </w:p>
    <w:p w14:paraId="1AAA3476" w14:textId="65224289" w:rsidR="00596C42" w:rsidRPr="00A060F8" w:rsidRDefault="00596C42" w:rsidP="00596C42">
      <w:pPr>
        <w:pStyle w:val="ListParagraph"/>
        <w:numPr>
          <w:ilvl w:val="0"/>
          <w:numId w:val="15"/>
        </w:numPr>
        <w:rPr>
          <w:rFonts w:cs="Arial"/>
          <w:szCs w:val="20"/>
        </w:rPr>
      </w:pPr>
      <w:r w:rsidRPr="0C5D3FB3">
        <w:rPr>
          <w:rFonts w:cs="Arial"/>
          <w:szCs w:val="20"/>
        </w:rPr>
        <w:t xml:space="preserve">Baclofen </w:t>
      </w:r>
      <w:r w:rsidRPr="00A060F8">
        <w:rPr>
          <w:rFonts w:cs="Arial"/>
          <w:szCs w:val="20"/>
        </w:rPr>
        <w:t>Soln (gen Ozobax</w:t>
      </w:r>
      <w:r w:rsidRPr="00A060F8">
        <w:rPr>
          <w:rFonts w:cs="Arial"/>
          <w:szCs w:val="20"/>
          <w:vertAlign w:val="superscript"/>
        </w:rPr>
        <w:t>®</w:t>
      </w:r>
      <w:r w:rsidRPr="00A060F8">
        <w:rPr>
          <w:rFonts w:cs="Arial"/>
          <w:szCs w:val="20"/>
        </w:rPr>
        <w:t>)</w:t>
      </w:r>
    </w:p>
    <w:p w14:paraId="0EAB51F6" w14:textId="77777777" w:rsidR="00596C42" w:rsidRDefault="00596C42" w:rsidP="00596C42">
      <w:pPr>
        <w:pStyle w:val="ListParagraph"/>
        <w:numPr>
          <w:ilvl w:val="0"/>
          <w:numId w:val="15"/>
        </w:numPr>
        <w:rPr>
          <w:rFonts w:cs="Arial"/>
          <w:szCs w:val="20"/>
        </w:rPr>
      </w:pPr>
      <w:r w:rsidRPr="00A060F8">
        <w:rPr>
          <w:rFonts w:cs="Arial"/>
          <w:szCs w:val="20"/>
        </w:rPr>
        <w:t xml:space="preserve">Baclofen Susp (gen </w:t>
      </w:r>
      <w:proofErr w:type="spellStart"/>
      <w:r w:rsidRPr="00A060F8">
        <w:rPr>
          <w:rFonts w:cs="Arial"/>
          <w:szCs w:val="20"/>
        </w:rPr>
        <w:t>Fleqsuvy</w:t>
      </w:r>
      <w:proofErr w:type="spellEnd"/>
      <w:proofErr w:type="gramStart"/>
      <w:r w:rsidRPr="00A060F8">
        <w:rPr>
          <w:rFonts w:cs="Arial"/>
          <w:szCs w:val="20"/>
          <w:vertAlign w:val="superscript"/>
        </w:rPr>
        <w:t>®</w:t>
      </w:r>
      <w:r w:rsidRPr="00A060F8">
        <w:rPr>
          <w:rFonts w:cs="Arial"/>
          <w:szCs w:val="20"/>
        </w:rPr>
        <w:t>)</w:t>
      </w:r>
      <w:r w:rsidRPr="00CB34AF">
        <w:rPr>
          <w:rFonts w:cs="Arial"/>
          <w:b/>
          <w:bCs/>
          <w:color w:val="1F497D" w:themeColor="text2"/>
          <w:szCs w:val="20"/>
        </w:rPr>
        <w:t>*</w:t>
      </w:r>
      <w:proofErr w:type="gramEnd"/>
    </w:p>
    <w:p w14:paraId="5D73FB98" w14:textId="77777777" w:rsidR="00596C42" w:rsidRPr="00046805" w:rsidRDefault="00596C42" w:rsidP="00596C42">
      <w:pPr>
        <w:pStyle w:val="ListParagraph"/>
        <w:numPr>
          <w:ilvl w:val="0"/>
          <w:numId w:val="15"/>
        </w:numPr>
        <w:rPr>
          <w:rFonts w:cs="Arial"/>
          <w:szCs w:val="20"/>
        </w:rPr>
      </w:pPr>
      <w:r w:rsidRPr="00046805">
        <w:rPr>
          <w:rFonts w:cs="Arial"/>
          <w:szCs w:val="20"/>
        </w:rPr>
        <w:t>Baclofen 15 mg Tabs</w:t>
      </w:r>
    </w:p>
    <w:p w14:paraId="4587DD05" w14:textId="77777777" w:rsidR="00596C42" w:rsidRPr="0051054C" w:rsidRDefault="00596C42" w:rsidP="00596C42">
      <w:pPr>
        <w:pStyle w:val="ListParagraph"/>
        <w:numPr>
          <w:ilvl w:val="0"/>
          <w:numId w:val="15"/>
        </w:numPr>
        <w:rPr>
          <w:rFonts w:cs="Arial"/>
          <w:szCs w:val="20"/>
        </w:rPr>
      </w:pPr>
      <w:r>
        <w:rPr>
          <w:rFonts w:cs="Arial"/>
          <w:szCs w:val="20"/>
        </w:rPr>
        <w:t>Carisoprodol</w:t>
      </w:r>
    </w:p>
    <w:p w14:paraId="0836EAC0" w14:textId="77777777" w:rsidR="00596C42" w:rsidRDefault="00596C42" w:rsidP="00596C42">
      <w:pPr>
        <w:pStyle w:val="ListParagraph"/>
        <w:numPr>
          <w:ilvl w:val="0"/>
          <w:numId w:val="15"/>
        </w:numPr>
        <w:rPr>
          <w:rFonts w:cs="Arial"/>
          <w:szCs w:val="20"/>
        </w:rPr>
      </w:pPr>
      <w:r>
        <w:rPr>
          <w:rFonts w:cs="Arial"/>
          <w:szCs w:val="20"/>
        </w:rPr>
        <w:t>Carisoprodol/ASA</w:t>
      </w:r>
    </w:p>
    <w:p w14:paraId="3DD88ABD" w14:textId="77777777" w:rsidR="00596C42" w:rsidRPr="00464A41" w:rsidRDefault="00596C42" w:rsidP="00596C42">
      <w:pPr>
        <w:pStyle w:val="ListParagraph"/>
        <w:numPr>
          <w:ilvl w:val="0"/>
          <w:numId w:val="15"/>
        </w:numPr>
        <w:rPr>
          <w:rFonts w:cs="Arial"/>
          <w:szCs w:val="20"/>
        </w:rPr>
      </w:pPr>
      <w:bookmarkStart w:id="1" w:name="_Hlk35933291"/>
      <w:r w:rsidRPr="00464A41">
        <w:rPr>
          <w:rFonts w:cs="Arial"/>
          <w:szCs w:val="20"/>
        </w:rPr>
        <w:t>Carisoprodol/ASA/Codeine</w:t>
      </w:r>
      <w:bookmarkEnd w:id="1"/>
    </w:p>
    <w:p w14:paraId="374F36F9" w14:textId="77777777" w:rsidR="00596C42" w:rsidRPr="00464A41" w:rsidRDefault="00596C42" w:rsidP="00596C42">
      <w:pPr>
        <w:pStyle w:val="ListParagraph"/>
        <w:numPr>
          <w:ilvl w:val="0"/>
          <w:numId w:val="15"/>
        </w:numPr>
        <w:rPr>
          <w:rFonts w:cs="Arial"/>
          <w:szCs w:val="20"/>
        </w:rPr>
      </w:pPr>
      <w:r w:rsidRPr="00464A41">
        <w:rPr>
          <w:rFonts w:cs="Arial"/>
          <w:szCs w:val="20"/>
        </w:rPr>
        <w:t>Chlorzoxazone 250, 375, 750 mg</w:t>
      </w:r>
    </w:p>
    <w:p w14:paraId="74FCBEC7" w14:textId="77777777" w:rsidR="00596C42" w:rsidRPr="00464A41" w:rsidRDefault="00596C42" w:rsidP="00596C42">
      <w:pPr>
        <w:pStyle w:val="ListParagraph"/>
        <w:numPr>
          <w:ilvl w:val="0"/>
          <w:numId w:val="15"/>
        </w:numPr>
        <w:rPr>
          <w:rFonts w:cs="Arial"/>
          <w:szCs w:val="20"/>
        </w:rPr>
      </w:pPr>
      <w:r w:rsidRPr="00464A41">
        <w:rPr>
          <w:rFonts w:cs="Arial"/>
          <w:szCs w:val="20"/>
        </w:rPr>
        <w:t>Cyclobenzaprine 7.5 mg Tabs (gen Fexmid</w:t>
      </w:r>
      <w:r w:rsidRPr="00464A41">
        <w:rPr>
          <w:rFonts w:cs="Arial"/>
          <w:szCs w:val="20"/>
          <w:vertAlign w:val="superscript"/>
        </w:rPr>
        <w:t>®</w:t>
      </w:r>
      <w:r w:rsidRPr="00464A41">
        <w:rPr>
          <w:rFonts w:cs="Arial"/>
          <w:szCs w:val="20"/>
        </w:rPr>
        <w:t>)</w:t>
      </w:r>
    </w:p>
    <w:p w14:paraId="1F2FCDB5" w14:textId="77777777" w:rsidR="00596C42" w:rsidRPr="00464A41" w:rsidRDefault="00596C42" w:rsidP="00596C42">
      <w:pPr>
        <w:pStyle w:val="ListParagraph"/>
        <w:numPr>
          <w:ilvl w:val="0"/>
          <w:numId w:val="15"/>
        </w:numPr>
        <w:rPr>
          <w:rFonts w:cs="Arial"/>
          <w:szCs w:val="20"/>
        </w:rPr>
      </w:pPr>
      <w:r w:rsidRPr="00464A41">
        <w:rPr>
          <w:rFonts w:cs="Arial"/>
          <w:szCs w:val="20"/>
        </w:rPr>
        <w:t>Cyclobenzaprine ER</w:t>
      </w:r>
    </w:p>
    <w:p w14:paraId="07F36483" w14:textId="77777777" w:rsidR="00596C42" w:rsidRPr="00464A41" w:rsidRDefault="00596C42" w:rsidP="00596C42">
      <w:pPr>
        <w:pStyle w:val="ListParagraph"/>
        <w:numPr>
          <w:ilvl w:val="0"/>
          <w:numId w:val="15"/>
        </w:numPr>
        <w:rPr>
          <w:rFonts w:cs="Arial"/>
          <w:szCs w:val="20"/>
        </w:rPr>
      </w:pPr>
      <w:r w:rsidRPr="00464A41">
        <w:rPr>
          <w:rFonts w:cs="Arial"/>
          <w:szCs w:val="20"/>
        </w:rPr>
        <w:t>Dantrium</w:t>
      </w:r>
      <w:r w:rsidRPr="00464A41">
        <w:rPr>
          <w:rFonts w:cs="Arial"/>
          <w:szCs w:val="20"/>
          <w:vertAlign w:val="superscript"/>
        </w:rPr>
        <w:t>®</w:t>
      </w:r>
    </w:p>
    <w:p w14:paraId="1F639B35" w14:textId="77777777" w:rsidR="00596C42" w:rsidRPr="00464A41" w:rsidRDefault="00596C42" w:rsidP="00596C42">
      <w:pPr>
        <w:pStyle w:val="ListParagraph"/>
        <w:numPr>
          <w:ilvl w:val="0"/>
          <w:numId w:val="15"/>
        </w:numPr>
        <w:rPr>
          <w:rFonts w:cs="Arial"/>
          <w:szCs w:val="20"/>
        </w:rPr>
      </w:pPr>
      <w:r w:rsidRPr="00464A41">
        <w:rPr>
          <w:rFonts w:cs="Arial"/>
          <w:szCs w:val="20"/>
        </w:rPr>
        <w:t>Fexmid</w:t>
      </w:r>
      <w:r w:rsidRPr="00464A41">
        <w:rPr>
          <w:rFonts w:cs="Arial"/>
          <w:szCs w:val="20"/>
          <w:vertAlign w:val="superscript"/>
        </w:rPr>
        <w:t>®</w:t>
      </w:r>
    </w:p>
    <w:p w14:paraId="4B45FAC6" w14:textId="77777777" w:rsidR="00596C42" w:rsidRPr="002975D8" w:rsidRDefault="00596C42" w:rsidP="00596C42">
      <w:pPr>
        <w:pStyle w:val="ListParagraph"/>
        <w:numPr>
          <w:ilvl w:val="0"/>
          <w:numId w:val="15"/>
        </w:numPr>
        <w:rPr>
          <w:rFonts w:cs="Arial"/>
          <w:szCs w:val="20"/>
        </w:rPr>
      </w:pPr>
      <w:r w:rsidRPr="002975D8">
        <w:rPr>
          <w:rFonts w:cs="Arial"/>
          <w:szCs w:val="20"/>
        </w:rPr>
        <w:t>Fleqsuvy</w:t>
      </w:r>
      <w:r w:rsidRPr="002975D8">
        <w:rPr>
          <w:rFonts w:cs="Arial"/>
          <w:szCs w:val="20"/>
          <w:vertAlign w:val="superscript"/>
        </w:rPr>
        <w:t>®</w:t>
      </w:r>
    </w:p>
    <w:p w14:paraId="56B25273" w14:textId="77777777" w:rsidR="00596C42" w:rsidRPr="00464A41" w:rsidRDefault="00596C42" w:rsidP="00596C42">
      <w:pPr>
        <w:pStyle w:val="ListParagraph"/>
        <w:numPr>
          <w:ilvl w:val="0"/>
          <w:numId w:val="15"/>
        </w:numPr>
        <w:rPr>
          <w:rFonts w:cs="Arial"/>
          <w:szCs w:val="20"/>
        </w:rPr>
      </w:pPr>
      <w:r w:rsidRPr="00464A41">
        <w:rPr>
          <w:rFonts w:cs="Arial"/>
          <w:szCs w:val="20"/>
        </w:rPr>
        <w:t>Lorzone</w:t>
      </w:r>
      <w:r w:rsidRPr="00464A41">
        <w:rPr>
          <w:rFonts w:cs="Arial"/>
          <w:szCs w:val="20"/>
          <w:vertAlign w:val="superscript"/>
        </w:rPr>
        <w:t>®</w:t>
      </w:r>
    </w:p>
    <w:p w14:paraId="70EB962F" w14:textId="77777777" w:rsidR="00596C42" w:rsidRDefault="00596C42" w:rsidP="00596C42">
      <w:pPr>
        <w:pStyle w:val="ListParagraph"/>
        <w:numPr>
          <w:ilvl w:val="0"/>
          <w:numId w:val="15"/>
        </w:numPr>
        <w:rPr>
          <w:rFonts w:cs="Arial"/>
          <w:szCs w:val="20"/>
        </w:rPr>
      </w:pPr>
      <w:r w:rsidRPr="00464A41">
        <w:rPr>
          <w:rFonts w:cs="Arial"/>
          <w:szCs w:val="20"/>
        </w:rPr>
        <w:lastRenderedPageBreak/>
        <w:t>Lyvispah</w:t>
      </w:r>
      <w:r w:rsidRPr="00464A41">
        <w:rPr>
          <w:rFonts w:cs="Arial"/>
          <w:szCs w:val="20"/>
          <w:vertAlign w:val="superscript"/>
        </w:rPr>
        <w:t>™</w:t>
      </w:r>
      <w:r w:rsidRPr="00071D04">
        <w:rPr>
          <w:rFonts w:cs="Arial"/>
          <w:szCs w:val="20"/>
        </w:rPr>
        <w:t>*</w:t>
      </w:r>
    </w:p>
    <w:p w14:paraId="45748B6F" w14:textId="6A163491" w:rsidR="00436269" w:rsidRDefault="00596C42" w:rsidP="00596C42">
      <w:pPr>
        <w:pStyle w:val="ListParagraph"/>
        <w:numPr>
          <w:ilvl w:val="0"/>
          <w:numId w:val="15"/>
        </w:numPr>
        <w:rPr>
          <w:rFonts w:cs="Arial"/>
          <w:szCs w:val="20"/>
        </w:rPr>
      </w:pPr>
      <w:r w:rsidRPr="00596C42">
        <w:rPr>
          <w:rFonts w:cs="Arial"/>
          <w:szCs w:val="20"/>
        </w:rPr>
        <w:t>Metaxalone</w:t>
      </w:r>
    </w:p>
    <w:p w14:paraId="0AB99BBD" w14:textId="77777777" w:rsidR="009B70FF" w:rsidRDefault="009B70FF" w:rsidP="009B70FF">
      <w:pPr>
        <w:pStyle w:val="ListParagraph"/>
        <w:numPr>
          <w:ilvl w:val="0"/>
          <w:numId w:val="15"/>
        </w:numPr>
        <w:rPr>
          <w:rFonts w:cs="Arial"/>
          <w:szCs w:val="20"/>
        </w:rPr>
      </w:pPr>
      <w:r w:rsidRPr="00464A41">
        <w:rPr>
          <w:rFonts w:cs="Arial"/>
          <w:szCs w:val="20"/>
        </w:rPr>
        <w:t>Orphenadrine</w:t>
      </w:r>
      <w:r w:rsidRPr="004E47F6">
        <w:rPr>
          <w:rFonts w:cs="Arial"/>
          <w:szCs w:val="20"/>
        </w:rPr>
        <w:t>/ASA/Caffeine (Norgesic</w:t>
      </w:r>
      <w:r w:rsidRPr="004E47F6">
        <w:rPr>
          <w:rFonts w:cs="Arial"/>
          <w:szCs w:val="20"/>
          <w:vertAlign w:val="superscript"/>
        </w:rPr>
        <w:t>®</w:t>
      </w:r>
      <w:r w:rsidRPr="004E47F6">
        <w:rPr>
          <w:rFonts w:cs="Arial"/>
          <w:szCs w:val="20"/>
        </w:rPr>
        <w:t>, Norgesic</w:t>
      </w:r>
      <w:r w:rsidRPr="004E47F6">
        <w:rPr>
          <w:rFonts w:cs="Arial"/>
          <w:szCs w:val="20"/>
          <w:vertAlign w:val="superscript"/>
        </w:rPr>
        <w:t>®</w:t>
      </w:r>
      <w:r w:rsidRPr="004E47F6">
        <w:rPr>
          <w:rFonts w:cs="Arial"/>
          <w:szCs w:val="20"/>
        </w:rPr>
        <w:t xml:space="preserve"> Forte, Orphengesic</w:t>
      </w:r>
      <w:r w:rsidRPr="004E47F6">
        <w:rPr>
          <w:rFonts w:cs="Arial"/>
          <w:szCs w:val="20"/>
          <w:vertAlign w:val="superscript"/>
        </w:rPr>
        <w:t>®</w:t>
      </w:r>
      <w:r w:rsidRPr="004E47F6">
        <w:rPr>
          <w:rFonts w:cs="Arial"/>
          <w:szCs w:val="20"/>
        </w:rPr>
        <w:t xml:space="preserve"> Forte)</w:t>
      </w:r>
    </w:p>
    <w:p w14:paraId="341CD883" w14:textId="1125D7DF" w:rsidR="00C2777E" w:rsidRPr="00895F20" w:rsidRDefault="00C2777E" w:rsidP="00C2777E">
      <w:pPr>
        <w:pStyle w:val="ListParagraph"/>
        <w:numPr>
          <w:ilvl w:val="0"/>
          <w:numId w:val="15"/>
        </w:numPr>
        <w:rPr>
          <w:rFonts w:cs="Arial"/>
          <w:b/>
          <w:bCs/>
          <w:color w:val="1F497D" w:themeColor="text2"/>
          <w:szCs w:val="20"/>
        </w:rPr>
      </w:pPr>
      <w:r w:rsidRPr="00895F20">
        <w:rPr>
          <w:rFonts w:cs="Arial"/>
          <w:b/>
          <w:bCs/>
          <w:color w:val="1F497D" w:themeColor="text2"/>
          <w:szCs w:val="20"/>
        </w:rPr>
        <w:t>Ozobax</w:t>
      </w:r>
      <w:r w:rsidRPr="00895F20">
        <w:rPr>
          <w:rFonts w:cs="Arial"/>
          <w:b/>
          <w:bCs/>
          <w:color w:val="1F497D" w:themeColor="text2"/>
          <w:szCs w:val="20"/>
          <w:vertAlign w:val="superscript"/>
        </w:rPr>
        <w:t>®</w:t>
      </w:r>
    </w:p>
    <w:p w14:paraId="2F279EF7" w14:textId="3C21552C" w:rsidR="00C2777E" w:rsidRPr="00895F20" w:rsidRDefault="00C2777E" w:rsidP="00C2777E">
      <w:pPr>
        <w:pStyle w:val="ListParagraph"/>
        <w:numPr>
          <w:ilvl w:val="0"/>
          <w:numId w:val="15"/>
        </w:numPr>
        <w:rPr>
          <w:rFonts w:cs="Arial"/>
          <w:b/>
          <w:bCs/>
          <w:color w:val="1F497D" w:themeColor="text2"/>
          <w:szCs w:val="20"/>
        </w:rPr>
      </w:pPr>
      <w:r w:rsidRPr="00895F20">
        <w:rPr>
          <w:rFonts w:cs="Arial"/>
          <w:b/>
          <w:bCs/>
          <w:color w:val="1F497D" w:themeColor="text2"/>
          <w:szCs w:val="20"/>
        </w:rPr>
        <w:t>Ozobax</w:t>
      </w:r>
      <w:r w:rsidRPr="00895F20">
        <w:rPr>
          <w:rFonts w:cs="Arial"/>
          <w:b/>
          <w:bCs/>
          <w:color w:val="1F497D" w:themeColor="text2"/>
          <w:szCs w:val="20"/>
          <w:vertAlign w:val="superscript"/>
        </w:rPr>
        <w:t>®</w:t>
      </w:r>
      <w:r w:rsidRPr="00895F20">
        <w:rPr>
          <w:rFonts w:cs="Arial"/>
          <w:b/>
          <w:bCs/>
          <w:color w:val="1F497D" w:themeColor="text2"/>
          <w:szCs w:val="20"/>
        </w:rPr>
        <w:t xml:space="preserve"> DS</w:t>
      </w:r>
    </w:p>
    <w:p w14:paraId="0D985F2E" w14:textId="77777777" w:rsidR="009B70FF" w:rsidRPr="0051054C" w:rsidRDefault="009B70FF" w:rsidP="009B70FF">
      <w:pPr>
        <w:pStyle w:val="ListParagraph"/>
        <w:numPr>
          <w:ilvl w:val="0"/>
          <w:numId w:val="15"/>
        </w:numPr>
        <w:rPr>
          <w:rFonts w:cs="Arial"/>
          <w:szCs w:val="20"/>
        </w:rPr>
      </w:pPr>
      <w:r>
        <w:rPr>
          <w:rFonts w:cs="Arial"/>
          <w:szCs w:val="20"/>
        </w:rPr>
        <w:t>Soma</w:t>
      </w:r>
      <w:r w:rsidRPr="00954652">
        <w:rPr>
          <w:rFonts w:cs="Arial"/>
          <w:szCs w:val="20"/>
          <w:vertAlign w:val="superscript"/>
        </w:rPr>
        <w:t>®</w:t>
      </w:r>
    </w:p>
    <w:p w14:paraId="2988200F" w14:textId="77777777" w:rsidR="009B70FF" w:rsidRPr="005A55AB" w:rsidRDefault="009B70FF" w:rsidP="009B70FF">
      <w:pPr>
        <w:pStyle w:val="ListParagraph"/>
        <w:numPr>
          <w:ilvl w:val="0"/>
          <w:numId w:val="15"/>
        </w:numPr>
        <w:rPr>
          <w:rFonts w:cs="Arial"/>
          <w:szCs w:val="20"/>
        </w:rPr>
      </w:pPr>
      <w:r w:rsidRPr="005A55AB">
        <w:rPr>
          <w:rFonts w:cs="Arial"/>
          <w:szCs w:val="20"/>
        </w:rPr>
        <w:t>Tanlor</w:t>
      </w:r>
    </w:p>
    <w:p w14:paraId="6642A9B3" w14:textId="77777777" w:rsidR="009B70FF" w:rsidRPr="0051054C" w:rsidRDefault="009B70FF" w:rsidP="009B70FF">
      <w:pPr>
        <w:pStyle w:val="ListParagraph"/>
        <w:numPr>
          <w:ilvl w:val="0"/>
          <w:numId w:val="15"/>
        </w:numPr>
        <w:rPr>
          <w:rFonts w:cs="Arial"/>
          <w:szCs w:val="20"/>
        </w:rPr>
      </w:pPr>
      <w:r>
        <w:rPr>
          <w:rFonts w:cs="Arial"/>
          <w:szCs w:val="20"/>
        </w:rPr>
        <w:t xml:space="preserve">Tizanidine Caps </w:t>
      </w:r>
    </w:p>
    <w:p w14:paraId="0DCCF402" w14:textId="26753875" w:rsidR="009B70FF" w:rsidRPr="009B70FF" w:rsidRDefault="009B70FF" w:rsidP="009B70FF">
      <w:pPr>
        <w:pStyle w:val="ListParagraph"/>
        <w:numPr>
          <w:ilvl w:val="0"/>
          <w:numId w:val="15"/>
        </w:numPr>
        <w:rPr>
          <w:rFonts w:cs="Arial"/>
          <w:szCs w:val="20"/>
        </w:rPr>
      </w:pPr>
      <w:r w:rsidRPr="0051054C">
        <w:rPr>
          <w:rFonts w:cs="Arial"/>
          <w:szCs w:val="20"/>
        </w:rPr>
        <w:t>Zanafl</w:t>
      </w:r>
      <w:r>
        <w:rPr>
          <w:rFonts w:cs="Arial"/>
          <w:szCs w:val="20"/>
        </w:rPr>
        <w:t>ex</w:t>
      </w:r>
      <w:r w:rsidRPr="00954652">
        <w:rPr>
          <w:rFonts w:cs="Arial"/>
          <w:szCs w:val="20"/>
          <w:vertAlign w:val="superscript"/>
        </w:rPr>
        <w:t>®</w:t>
      </w:r>
    </w:p>
    <w:p w14:paraId="46E23F56" w14:textId="77777777" w:rsidR="005D3BD6" w:rsidRPr="005D3BD6" w:rsidRDefault="005D3BD6" w:rsidP="005D3BD6">
      <w:pPr>
        <w:pStyle w:val="ListParagraph"/>
        <w:numPr>
          <w:ilvl w:val="0"/>
          <w:numId w:val="0"/>
        </w:numPr>
        <w:ind w:left="360"/>
        <w:rPr>
          <w:rFonts w:cs="Arial"/>
          <w:i/>
          <w:sz w:val="18"/>
          <w:szCs w:val="18"/>
        </w:rPr>
      </w:pPr>
      <w:r w:rsidRPr="005D3BD6">
        <w:rPr>
          <w:rFonts w:cs="Arial"/>
          <w:i/>
          <w:sz w:val="18"/>
          <w:szCs w:val="18"/>
        </w:rPr>
        <w:t>*Available to participants &lt; 10 years without any pre-requisite therapy</w:t>
      </w:r>
    </w:p>
    <w:p w14:paraId="0EAC71B9" w14:textId="77777777" w:rsidR="009B70FF" w:rsidRPr="009B70FF" w:rsidRDefault="009B70FF" w:rsidP="009B70FF">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0C7F6604" w:rsidR="0097028A" w:rsidRPr="0079438F" w:rsidRDefault="0097028A" w:rsidP="00696E3A">
      <w:pPr>
        <w:rPr>
          <w:b/>
        </w:rPr>
      </w:pPr>
      <w:r w:rsidRPr="00696E3A">
        <w:rPr>
          <w:b/>
          <w:bCs/>
        </w:rPr>
        <w:t>Drug class for review:</w:t>
      </w:r>
      <w:r w:rsidRPr="00C02553">
        <w:t xml:space="preserve"> </w:t>
      </w:r>
      <w:r w:rsidR="000F26C1">
        <w:rPr>
          <w:rFonts w:cs="Arial"/>
        </w:rPr>
        <w:t>Skeletal Muscle Relaxants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05DAD795" w14:textId="77777777" w:rsidR="00C957CC" w:rsidRPr="001B553F" w:rsidRDefault="00C957CC" w:rsidP="00C957CC">
      <w:pPr>
        <w:pStyle w:val="ListParagraph"/>
        <w:numPr>
          <w:ilvl w:val="0"/>
          <w:numId w:val="22"/>
        </w:numPr>
        <w:rPr>
          <w:rFonts w:cs="Arial"/>
        </w:rPr>
      </w:pPr>
      <w:r w:rsidRPr="001B553F">
        <w:rPr>
          <w:rFonts w:cs="Arial"/>
        </w:rPr>
        <w:t xml:space="preserve">Must meet </w:t>
      </w:r>
      <w:r>
        <w:rPr>
          <w:rFonts w:cs="Arial"/>
        </w:rPr>
        <w:t>one</w:t>
      </w:r>
      <w:r w:rsidRPr="001B553F">
        <w:rPr>
          <w:rFonts w:cs="Arial"/>
        </w:rPr>
        <w:t xml:space="preserve"> of the following:</w:t>
      </w:r>
    </w:p>
    <w:p w14:paraId="378D332A" w14:textId="77777777" w:rsidR="00C957CC" w:rsidRPr="001B553F" w:rsidRDefault="00C957CC" w:rsidP="00C957CC">
      <w:pPr>
        <w:pStyle w:val="ListParagraph"/>
        <w:numPr>
          <w:ilvl w:val="1"/>
          <w:numId w:val="22"/>
        </w:numPr>
        <w:rPr>
          <w:rFonts w:cs="Arial"/>
        </w:rPr>
      </w:pPr>
      <w:r w:rsidRPr="001B553F">
        <w:rPr>
          <w:rFonts w:cs="Arial"/>
        </w:rPr>
        <w:t>Claim is for a preferred agent</w:t>
      </w:r>
      <w:r>
        <w:rPr>
          <w:rFonts w:cs="Arial"/>
        </w:rPr>
        <w:t xml:space="preserve">; </w:t>
      </w:r>
      <w:r w:rsidRPr="004B48FC">
        <w:rPr>
          <w:rFonts w:cs="Arial"/>
          <w:b/>
          <w:bCs/>
        </w:rPr>
        <w:t>OR</w:t>
      </w:r>
    </w:p>
    <w:p w14:paraId="3EF0A966" w14:textId="77777777" w:rsidR="00C957CC" w:rsidRPr="001B553F" w:rsidRDefault="00C957CC" w:rsidP="00C957CC">
      <w:pPr>
        <w:pStyle w:val="ListParagraph"/>
        <w:numPr>
          <w:ilvl w:val="1"/>
          <w:numId w:val="22"/>
        </w:numPr>
        <w:rPr>
          <w:rFonts w:cs="Arial"/>
        </w:rPr>
      </w:pPr>
      <w:r w:rsidRPr="001B553F">
        <w:rPr>
          <w:rFonts w:cs="Arial"/>
        </w:rPr>
        <w:t xml:space="preserve">Failure to achieve desired therapeutic outcomes with a </w:t>
      </w:r>
      <w:r w:rsidRPr="001B553F">
        <w:rPr>
          <w:rFonts w:cs="Arial"/>
          <w:noProof/>
        </w:rPr>
        <w:t>trial</w:t>
      </w:r>
      <w:r w:rsidRPr="001B553F">
        <w:rPr>
          <w:rFonts w:cs="Arial"/>
        </w:rPr>
        <w:t xml:space="preserve"> on 5 or more preferred agents; </w:t>
      </w:r>
    </w:p>
    <w:p w14:paraId="319F9169" w14:textId="77777777" w:rsidR="00C957CC" w:rsidRPr="001B553F" w:rsidRDefault="00C957CC" w:rsidP="00C957CC">
      <w:pPr>
        <w:pStyle w:val="ListParagraph"/>
        <w:numPr>
          <w:ilvl w:val="2"/>
          <w:numId w:val="22"/>
        </w:numPr>
        <w:tabs>
          <w:tab w:val="num" w:pos="1080"/>
        </w:tabs>
        <w:rPr>
          <w:rFonts w:cs="Arial"/>
        </w:rPr>
      </w:pPr>
      <w:r w:rsidRPr="001B553F">
        <w:rPr>
          <w:rFonts w:cs="Arial"/>
          <w:noProof/>
        </w:rPr>
        <w:t>Documented</w:t>
      </w:r>
      <w:r w:rsidRPr="001B553F">
        <w:rPr>
          <w:rFonts w:cs="Arial"/>
        </w:rPr>
        <w:t xml:space="preserve"> trial period for preferred agents; </w:t>
      </w:r>
      <w:r w:rsidRPr="001B553F">
        <w:rPr>
          <w:rFonts w:cs="Arial"/>
          <w:b/>
        </w:rPr>
        <w:t>OR</w:t>
      </w:r>
    </w:p>
    <w:p w14:paraId="519A3D70" w14:textId="77777777" w:rsidR="00C957CC" w:rsidRPr="001B553F" w:rsidRDefault="00C957CC" w:rsidP="00C957CC">
      <w:pPr>
        <w:pStyle w:val="ListParagraph"/>
        <w:numPr>
          <w:ilvl w:val="2"/>
          <w:numId w:val="22"/>
        </w:numPr>
        <w:tabs>
          <w:tab w:val="num" w:pos="1080"/>
        </w:tabs>
        <w:rPr>
          <w:rFonts w:cs="Arial"/>
        </w:rPr>
      </w:pPr>
      <w:r w:rsidRPr="001B553F">
        <w:rPr>
          <w:rFonts w:cs="Arial"/>
        </w:rPr>
        <w:t>Documented ADE/ADR to preferred agents</w:t>
      </w:r>
      <w:r>
        <w:rPr>
          <w:rFonts w:cs="Arial"/>
        </w:rPr>
        <w:t>.</w:t>
      </w:r>
    </w:p>
    <w:p w14:paraId="2533D8CA" w14:textId="77777777" w:rsidR="00C957CC" w:rsidRPr="001B553F" w:rsidRDefault="00C957CC" w:rsidP="00C957CC">
      <w:pPr>
        <w:pStyle w:val="ListParagraph"/>
        <w:numPr>
          <w:ilvl w:val="0"/>
          <w:numId w:val="22"/>
        </w:numPr>
        <w:rPr>
          <w:rFonts w:cs="Arial"/>
        </w:rPr>
      </w:pPr>
      <w:r w:rsidRPr="001B553F">
        <w:rPr>
          <w:rFonts w:cs="Arial"/>
        </w:rPr>
        <w:t xml:space="preserve">Additional approval criteria for non-preferred liquid </w:t>
      </w:r>
      <w:r w:rsidRPr="002975D8">
        <w:rPr>
          <w:rFonts w:cs="Arial"/>
        </w:rPr>
        <w:t xml:space="preserve">or granule packet </w:t>
      </w:r>
      <w:r w:rsidRPr="001B553F">
        <w:rPr>
          <w:rFonts w:cs="Arial"/>
        </w:rPr>
        <w:t>dosage forms:</w:t>
      </w:r>
    </w:p>
    <w:p w14:paraId="511094D3" w14:textId="77777777" w:rsidR="00C957CC" w:rsidRPr="00CD6A76" w:rsidRDefault="00C957CC" w:rsidP="00C957CC">
      <w:pPr>
        <w:pStyle w:val="ListParagraph"/>
        <w:numPr>
          <w:ilvl w:val="1"/>
          <w:numId w:val="22"/>
        </w:numPr>
        <w:tabs>
          <w:tab w:val="num" w:pos="1080"/>
        </w:tabs>
        <w:rPr>
          <w:rFonts w:cs="Arial"/>
        </w:rPr>
      </w:pPr>
      <w:r w:rsidRPr="001B553F">
        <w:rPr>
          <w:rFonts w:cs="Arial"/>
        </w:rPr>
        <w:t xml:space="preserve">Participant is aged &lt; 10 years; </w:t>
      </w:r>
      <w:r w:rsidRPr="001B553F">
        <w:rPr>
          <w:rFonts w:cs="Arial"/>
          <w:b/>
          <w:bCs/>
        </w:rPr>
        <w:t>AND</w:t>
      </w:r>
    </w:p>
    <w:p w14:paraId="042A3B85" w14:textId="77777777" w:rsidR="00C957CC" w:rsidRPr="00D002BC" w:rsidRDefault="00C957CC" w:rsidP="00C957CC">
      <w:pPr>
        <w:pStyle w:val="ListParagraph"/>
        <w:numPr>
          <w:ilvl w:val="1"/>
          <w:numId w:val="22"/>
        </w:numPr>
        <w:tabs>
          <w:tab w:val="num" w:pos="1080"/>
        </w:tabs>
        <w:rPr>
          <w:rFonts w:cs="Arial"/>
        </w:rPr>
      </w:pPr>
      <w:r w:rsidRPr="00D002BC">
        <w:rPr>
          <w:rFonts w:cs="Arial"/>
        </w:rPr>
        <w:t>Must meet one of the following:</w:t>
      </w:r>
    </w:p>
    <w:p w14:paraId="633A2120" w14:textId="77777777" w:rsidR="00C957CC" w:rsidRPr="001B553F" w:rsidRDefault="00C957CC" w:rsidP="00C957CC">
      <w:pPr>
        <w:pStyle w:val="ListParagraph"/>
        <w:numPr>
          <w:ilvl w:val="2"/>
          <w:numId w:val="22"/>
        </w:numPr>
        <w:rPr>
          <w:rFonts w:cs="Arial"/>
        </w:rPr>
      </w:pPr>
      <w:r w:rsidRPr="001B553F">
        <w:rPr>
          <w:rFonts w:cs="Arial"/>
        </w:rPr>
        <w:t xml:space="preserve">Claim is for </w:t>
      </w:r>
      <w:r w:rsidRPr="005073C5">
        <w:rPr>
          <w:rFonts w:cs="Arial"/>
        </w:rPr>
        <w:t>Lyvispah granules</w:t>
      </w:r>
      <w:r w:rsidRPr="005073C5">
        <w:rPr>
          <w:rFonts w:cs="Arial"/>
          <w:b/>
          <w:bCs/>
        </w:rPr>
        <w:t xml:space="preserve"> </w:t>
      </w:r>
      <w:r w:rsidRPr="00C957CC">
        <w:rPr>
          <w:rFonts w:cs="Arial"/>
          <w:b/>
          <w:bCs/>
          <w:color w:val="1F497D" w:themeColor="text2"/>
        </w:rPr>
        <w:t>or</w:t>
      </w:r>
      <w:r w:rsidRPr="00C957CC">
        <w:rPr>
          <w:rFonts w:cs="Arial"/>
          <w:color w:val="1F497D" w:themeColor="text2"/>
        </w:rPr>
        <w:t xml:space="preserve"> </w:t>
      </w:r>
      <w:r w:rsidRPr="00C957CC">
        <w:rPr>
          <w:rFonts w:cs="Arial"/>
          <w:b/>
          <w:bCs/>
          <w:color w:val="1F497D" w:themeColor="text2"/>
        </w:rPr>
        <w:t>baclofen 25 mg/5 mL suspension</w:t>
      </w:r>
      <w:r w:rsidRPr="00267E8D">
        <w:rPr>
          <w:rFonts w:cs="Arial"/>
        </w:rPr>
        <w:t xml:space="preserve">; </w:t>
      </w:r>
      <w:r w:rsidRPr="001B553F">
        <w:rPr>
          <w:rFonts w:cs="Arial"/>
          <w:b/>
          <w:bCs/>
        </w:rPr>
        <w:t>OR</w:t>
      </w:r>
    </w:p>
    <w:p w14:paraId="4815B13A" w14:textId="77777777" w:rsidR="00C957CC" w:rsidRDefault="00C957CC" w:rsidP="00C957CC">
      <w:pPr>
        <w:pStyle w:val="ListParagraph"/>
        <w:numPr>
          <w:ilvl w:val="2"/>
          <w:numId w:val="22"/>
        </w:numPr>
        <w:rPr>
          <w:rFonts w:cs="Arial"/>
        </w:rPr>
      </w:pPr>
      <w:r w:rsidRPr="001B553F">
        <w:rPr>
          <w:rFonts w:cs="Arial"/>
        </w:rPr>
        <w:t>Documentation of medical necessity required</w:t>
      </w:r>
      <w:r>
        <w:rPr>
          <w:rFonts w:cs="Arial"/>
        </w:rPr>
        <w:t>.</w:t>
      </w:r>
    </w:p>
    <w:p w14:paraId="033CC76E" w14:textId="77777777" w:rsidR="00C957CC" w:rsidRPr="00B73CF2" w:rsidRDefault="00C957CC" w:rsidP="00C957CC">
      <w:pPr>
        <w:pStyle w:val="ListParagraph"/>
        <w:numPr>
          <w:ilvl w:val="0"/>
          <w:numId w:val="22"/>
        </w:numPr>
        <w:rPr>
          <w:rFonts w:cs="Arial"/>
        </w:rPr>
      </w:pPr>
      <w:r w:rsidRPr="00B73CF2">
        <w:rPr>
          <w:rFonts w:cs="Arial"/>
        </w:rPr>
        <w:t>Additional approval criteria for Tanlor:</w:t>
      </w:r>
    </w:p>
    <w:p w14:paraId="4DBB73C4" w14:textId="77777777" w:rsidR="00C957CC" w:rsidRPr="00B73CF2" w:rsidRDefault="00C957CC" w:rsidP="00C957CC">
      <w:pPr>
        <w:pStyle w:val="ListParagraph"/>
        <w:numPr>
          <w:ilvl w:val="1"/>
          <w:numId w:val="22"/>
        </w:numPr>
        <w:rPr>
          <w:rFonts w:cs="Arial"/>
        </w:rPr>
      </w:pPr>
      <w:r w:rsidRPr="00B73CF2">
        <w:rPr>
          <w:rFonts w:cs="Arial"/>
        </w:rPr>
        <w:t>Clinical Consultant Review for reason why two methocarbamol 500 mg tablets cannot be utilized.</w:t>
      </w:r>
    </w:p>
    <w:p w14:paraId="2B5517E0" w14:textId="77777777" w:rsidR="00C957CC" w:rsidRPr="00CE0A84" w:rsidRDefault="00C957CC" w:rsidP="00C957CC">
      <w:pPr>
        <w:pStyle w:val="ListParagraph"/>
        <w:numPr>
          <w:ilvl w:val="0"/>
          <w:numId w:val="22"/>
        </w:numPr>
        <w:rPr>
          <w:rFonts w:cs="Arial"/>
        </w:rPr>
      </w:pPr>
      <w:r w:rsidRPr="00CE0A84">
        <w:rPr>
          <w:rFonts w:cs="Arial"/>
        </w:rPr>
        <w:t>Additional approval criteria for baclofen 15 mg tablets:</w:t>
      </w:r>
    </w:p>
    <w:p w14:paraId="7A81A58B" w14:textId="77777777" w:rsidR="00C957CC" w:rsidRPr="00CE0A84" w:rsidRDefault="00C957CC" w:rsidP="00C957CC">
      <w:pPr>
        <w:pStyle w:val="ListParagraph"/>
        <w:numPr>
          <w:ilvl w:val="1"/>
          <w:numId w:val="22"/>
        </w:numPr>
        <w:rPr>
          <w:rFonts w:cs="Arial"/>
        </w:rPr>
      </w:pPr>
      <w:r w:rsidRPr="00CE0A84">
        <w:rPr>
          <w:rFonts w:cs="Arial"/>
        </w:rPr>
        <w:t xml:space="preserve">Clinical Consultant Review for reason why 15 mg is needed. If deemed necessary, participant must utilize one and one-half baclofen 10 mg tablets. </w:t>
      </w:r>
    </w:p>
    <w:p w14:paraId="0B0C0D72" w14:textId="5B11953F" w:rsidR="005328B2" w:rsidRPr="00B7089F" w:rsidRDefault="00B7089F" w:rsidP="00B7089F">
      <w:pPr>
        <w:pStyle w:val="ListParagraph"/>
        <w:numPr>
          <w:ilvl w:val="0"/>
          <w:numId w:val="22"/>
        </w:numPr>
        <w:rPr>
          <w:rFonts w:cs="Arial"/>
          <w:b/>
          <w:bCs/>
          <w:color w:val="1F497D" w:themeColor="text2"/>
          <w:szCs w:val="20"/>
        </w:rPr>
      </w:pPr>
      <w:r w:rsidRPr="00B7089F">
        <w:rPr>
          <w:rFonts w:cs="Arial"/>
          <w:b/>
          <w:bCs/>
          <w:color w:val="1F497D" w:themeColor="text2"/>
        </w:rPr>
        <w:t>Additional approval criteria for Zanaflex 8 mg capsules:</w:t>
      </w:r>
    </w:p>
    <w:p w14:paraId="6B73890E" w14:textId="575D093B" w:rsidR="00B7089F" w:rsidRPr="0092159B" w:rsidRDefault="00B7089F" w:rsidP="00B7089F">
      <w:pPr>
        <w:pStyle w:val="ListParagraph"/>
        <w:numPr>
          <w:ilvl w:val="1"/>
          <w:numId w:val="22"/>
        </w:numPr>
        <w:rPr>
          <w:rFonts w:cs="Arial"/>
          <w:b/>
          <w:bCs/>
          <w:color w:val="1F497D" w:themeColor="text2"/>
          <w:szCs w:val="20"/>
        </w:rPr>
      </w:pPr>
      <w:r w:rsidRPr="00B7089F">
        <w:rPr>
          <w:rFonts w:cs="Arial"/>
          <w:b/>
          <w:bCs/>
          <w:color w:val="1F497D" w:themeColor="text2"/>
        </w:rPr>
        <w:t>Clinical Consultant Review for reason why other strengths of tizanidine cannot be utilized.</w:t>
      </w:r>
    </w:p>
    <w:p w14:paraId="0A2FEBDF" w14:textId="255FBC6F" w:rsidR="0092159B" w:rsidRPr="00B7089F" w:rsidRDefault="0092159B" w:rsidP="0092159B">
      <w:pPr>
        <w:pStyle w:val="ListParagraph"/>
        <w:numPr>
          <w:ilvl w:val="0"/>
          <w:numId w:val="22"/>
        </w:numPr>
        <w:rPr>
          <w:rFonts w:cs="Arial"/>
          <w:b/>
          <w:bCs/>
          <w:color w:val="1F497D" w:themeColor="text2"/>
          <w:szCs w:val="20"/>
        </w:rPr>
      </w:pPr>
      <w:r w:rsidRPr="00B7089F">
        <w:rPr>
          <w:rFonts w:cs="Arial"/>
          <w:b/>
          <w:bCs/>
          <w:color w:val="1F497D" w:themeColor="text2"/>
        </w:rPr>
        <w:t xml:space="preserve">Additional approval criteria for </w:t>
      </w:r>
      <w:r w:rsidR="00DF0655">
        <w:rPr>
          <w:rFonts w:cs="Arial"/>
          <w:b/>
          <w:bCs/>
          <w:color w:val="1F497D" w:themeColor="text2"/>
        </w:rPr>
        <w:t>metaxalone 640 mg tablets</w:t>
      </w:r>
      <w:r w:rsidRPr="00B7089F">
        <w:rPr>
          <w:rFonts w:cs="Arial"/>
          <w:b/>
          <w:bCs/>
          <w:color w:val="1F497D" w:themeColor="text2"/>
        </w:rPr>
        <w:t>:</w:t>
      </w:r>
    </w:p>
    <w:p w14:paraId="6B78802F" w14:textId="2A612EEB" w:rsidR="0092159B" w:rsidRPr="00B7089F" w:rsidRDefault="0092159B" w:rsidP="0092159B">
      <w:pPr>
        <w:pStyle w:val="ListParagraph"/>
        <w:numPr>
          <w:ilvl w:val="1"/>
          <w:numId w:val="22"/>
        </w:numPr>
        <w:rPr>
          <w:rFonts w:cs="Arial"/>
          <w:b/>
          <w:bCs/>
          <w:color w:val="1F497D" w:themeColor="text2"/>
          <w:szCs w:val="20"/>
        </w:rPr>
      </w:pPr>
      <w:r w:rsidRPr="00B7089F">
        <w:rPr>
          <w:rFonts w:cs="Arial"/>
          <w:b/>
          <w:bCs/>
          <w:color w:val="1F497D" w:themeColor="text2"/>
        </w:rPr>
        <w:t xml:space="preserve">Clinical Consultant Review for reason why </w:t>
      </w:r>
      <w:r w:rsidR="00DF0655">
        <w:rPr>
          <w:rFonts w:cs="Arial"/>
          <w:b/>
          <w:bCs/>
          <w:color w:val="1F497D" w:themeColor="text2"/>
        </w:rPr>
        <w:t>metaxalone 400 mg or 800 mg tablets</w:t>
      </w:r>
      <w:r w:rsidRPr="00B7089F">
        <w:rPr>
          <w:rFonts w:cs="Arial"/>
          <w:b/>
          <w:bCs/>
          <w:color w:val="1F497D" w:themeColor="text2"/>
        </w:rPr>
        <w:t xml:space="preserve"> cannot be utilized.</w:t>
      </w:r>
    </w:p>
    <w:p w14:paraId="2B08C30F" w14:textId="3F3E413C" w:rsidR="0092159B" w:rsidRPr="00B7089F" w:rsidRDefault="0092159B" w:rsidP="0092159B">
      <w:pPr>
        <w:pStyle w:val="ListParagraph"/>
        <w:numPr>
          <w:ilvl w:val="0"/>
          <w:numId w:val="0"/>
        </w:numPr>
        <w:ind w:left="360"/>
        <w:rPr>
          <w:rFonts w:cs="Arial"/>
          <w:b/>
          <w:bCs/>
          <w:color w:val="1F497D" w:themeColor="text2"/>
          <w:szCs w:val="20"/>
        </w:rPr>
      </w:pPr>
    </w:p>
    <w:p w14:paraId="6413C03A" w14:textId="77777777" w:rsidR="00AE77DB" w:rsidRPr="00C02553" w:rsidRDefault="00AE77DB" w:rsidP="005A2F1E">
      <w:pPr>
        <w:pStyle w:val="Heading1"/>
        <w:rPr>
          <w:lang w:val="en-US"/>
        </w:rPr>
      </w:pPr>
      <w:r w:rsidRPr="00C02553">
        <w:rPr>
          <w:lang w:val="en-US"/>
        </w:rPr>
        <w:t>Denial Criteria</w:t>
      </w:r>
    </w:p>
    <w:p w14:paraId="5E765E4D" w14:textId="77777777" w:rsidR="001052D6" w:rsidRDefault="001052D6" w:rsidP="001052D6">
      <w:pPr>
        <w:pStyle w:val="ListBullet2"/>
        <w:numPr>
          <w:ilvl w:val="0"/>
          <w:numId w:val="23"/>
        </w:numPr>
        <w:contextualSpacing/>
        <w:rPr>
          <w:rFonts w:ascii="Arial" w:hAnsi="Arial" w:cs="Arial"/>
          <w:sz w:val="20"/>
        </w:rPr>
      </w:pPr>
      <w:r>
        <w:rPr>
          <w:rFonts w:ascii="Arial" w:hAnsi="Arial" w:cs="Arial"/>
          <w:sz w:val="20"/>
        </w:rPr>
        <w:t>Therapy will deny with presence of one of the following:</w:t>
      </w:r>
    </w:p>
    <w:p w14:paraId="7E0CA65B" w14:textId="77777777" w:rsidR="001052D6" w:rsidRPr="004B48FC" w:rsidRDefault="001052D6" w:rsidP="001052D6">
      <w:pPr>
        <w:pStyle w:val="ListBullet2"/>
        <w:numPr>
          <w:ilvl w:val="1"/>
          <w:numId w:val="23"/>
        </w:numPr>
        <w:rPr>
          <w:rFonts w:ascii="Arial" w:hAnsi="Arial" w:cs="Arial"/>
          <w:sz w:val="20"/>
        </w:rPr>
      </w:pPr>
      <w:r>
        <w:rPr>
          <w:rFonts w:ascii="Arial" w:hAnsi="Arial" w:cs="Arial"/>
          <w:sz w:val="20"/>
        </w:rPr>
        <w:t>Any</w:t>
      </w:r>
      <w:r w:rsidRPr="008A6D97">
        <w:rPr>
          <w:rFonts w:ascii="Arial" w:hAnsi="Arial" w:cs="Arial"/>
          <w:sz w:val="20"/>
        </w:rPr>
        <w:t xml:space="preserve"> approval criteria are not met</w:t>
      </w:r>
      <w:r w:rsidRPr="004B48FC">
        <w:rPr>
          <w:rFonts w:ascii="Arial" w:hAnsi="Arial" w:cs="Arial"/>
          <w:sz w:val="20"/>
        </w:rPr>
        <w:t xml:space="preserve">; </w:t>
      </w:r>
      <w:r w:rsidRPr="004B48FC">
        <w:rPr>
          <w:rFonts w:ascii="Arial" w:hAnsi="Arial" w:cs="Arial"/>
          <w:b/>
          <w:bCs/>
          <w:sz w:val="20"/>
        </w:rPr>
        <w:t>OR</w:t>
      </w:r>
    </w:p>
    <w:p w14:paraId="4656F0F6" w14:textId="77777777" w:rsidR="001052D6" w:rsidRPr="00BC15D0" w:rsidRDefault="001052D6" w:rsidP="001052D6">
      <w:pPr>
        <w:pStyle w:val="ListBullet2"/>
        <w:numPr>
          <w:ilvl w:val="1"/>
          <w:numId w:val="23"/>
        </w:numPr>
        <w:contextualSpacing/>
        <w:rPr>
          <w:rFonts w:ascii="Arial" w:hAnsi="Arial" w:cs="Arial"/>
          <w:sz w:val="20"/>
        </w:rPr>
      </w:pPr>
      <w:r w:rsidRPr="00BC15D0">
        <w:rPr>
          <w:rFonts w:ascii="Arial" w:hAnsi="Arial" w:cs="Arial"/>
          <w:sz w:val="20"/>
        </w:rPr>
        <w:t>Participant history exceeds 2 courses of therapy at a maximum duration of 6 weeks annually for each course (</w:t>
      </w:r>
      <w:r>
        <w:rPr>
          <w:rFonts w:ascii="Arial" w:hAnsi="Arial" w:cs="Arial"/>
          <w:sz w:val="20"/>
        </w:rPr>
        <w:t>e</w:t>
      </w:r>
      <w:r w:rsidRPr="00BC15D0">
        <w:rPr>
          <w:rFonts w:ascii="Arial" w:hAnsi="Arial" w:cs="Arial"/>
          <w:sz w:val="20"/>
        </w:rPr>
        <w:t>xcluding agents for muscle spasticity: baclofen, dantrolene, metaxalone, methocarbamol, tizanidine</w:t>
      </w:r>
      <w:r>
        <w:rPr>
          <w:rFonts w:ascii="Arial" w:hAnsi="Arial" w:cs="Arial"/>
          <w:sz w:val="20"/>
        </w:rPr>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6769A145" w14:textId="77777777" w:rsidR="00C20E59" w:rsidRPr="00CF70B0" w:rsidRDefault="00343D6B" w:rsidP="00C20E59">
      <w:pPr>
        <w:textAlignment w:val="baseline"/>
        <w:rPr>
          <w:rFonts w:cs="Arial"/>
          <w:sz w:val="22"/>
        </w:rPr>
      </w:pPr>
      <w:r w:rsidRPr="00696E3A">
        <w:rPr>
          <w:b/>
          <w:bCs/>
        </w:rPr>
        <w:t>Default Approval Period:</w:t>
      </w:r>
      <w:r w:rsidR="00973BD6">
        <w:t xml:space="preserve"> </w:t>
      </w:r>
      <w:r w:rsidR="00C20E59" w:rsidRPr="00CF70B0">
        <w:rPr>
          <w:rFonts w:cs="Arial"/>
          <w:szCs w:val="22"/>
        </w:rPr>
        <w:t>1 year</w:t>
      </w:r>
    </w:p>
    <w:p w14:paraId="3C9584C1" w14:textId="5A5CC7D4" w:rsidR="00DE364A" w:rsidRPr="00472C70" w:rsidRDefault="00DE364A" w:rsidP="00DE364A">
      <w:pPr>
        <w:rPr>
          <w:rFonts w:cs="Arial"/>
          <w:szCs w:val="20"/>
        </w:rPr>
      </w:pP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19340D81" w14:textId="77777777" w:rsidR="004865D4" w:rsidRPr="005107D9" w:rsidRDefault="004865D4" w:rsidP="004865D4">
      <w:pPr>
        <w:numPr>
          <w:ilvl w:val="0"/>
          <w:numId w:val="24"/>
        </w:numPr>
        <w:rPr>
          <w:rFonts w:cs="Arial"/>
          <w:szCs w:val="20"/>
        </w:rPr>
      </w:pPr>
      <w:r w:rsidRPr="005107D9">
        <w:rPr>
          <w:rFonts w:cs="Arial"/>
          <w:szCs w:val="20"/>
        </w:rPr>
        <w:t>Evidence-Based Medicine and Fiscal Analysis: “</w:t>
      </w:r>
      <w:r w:rsidRPr="005107D9">
        <w:rPr>
          <w:rFonts w:cs="Arial"/>
        </w:rPr>
        <w:t>Skeletal Muscle Relaxants</w:t>
      </w:r>
      <w:r w:rsidRPr="005107D9">
        <w:rPr>
          <w:rFonts w:cs="Arial"/>
          <w:szCs w:val="20"/>
        </w:rPr>
        <w:t>– Therapeutic Class Review”, Conduent Business Services, L.L.C., Richmond, VA; November 2021.</w:t>
      </w:r>
    </w:p>
    <w:p w14:paraId="7CF6D63E" w14:textId="3F4FD34B" w:rsidR="004865D4" w:rsidRPr="005107D9" w:rsidRDefault="004865D4" w:rsidP="004865D4">
      <w:pPr>
        <w:pStyle w:val="List2"/>
        <w:numPr>
          <w:ilvl w:val="0"/>
          <w:numId w:val="24"/>
        </w:numPr>
        <w:contextualSpacing/>
        <w:rPr>
          <w:rFonts w:cs="Arial"/>
        </w:rPr>
      </w:pPr>
      <w:r w:rsidRPr="005107D9">
        <w:rPr>
          <w:rFonts w:cs="Arial"/>
        </w:rPr>
        <w:t xml:space="preserve">Evidence-Based Medicine Analysis: “Skeletal Muscle Relaxants”, UMKC-DIC; </w:t>
      </w:r>
      <w:r w:rsidR="00B42D10">
        <w:rPr>
          <w:rFonts w:cs="Arial"/>
        </w:rPr>
        <w:t>September</w:t>
      </w:r>
      <w:r>
        <w:rPr>
          <w:rFonts w:cs="Arial"/>
        </w:rPr>
        <w:t xml:space="preserve"> 202</w:t>
      </w:r>
      <w:r w:rsidR="00B42D10">
        <w:rPr>
          <w:rFonts w:cs="Arial"/>
        </w:rPr>
        <w:t>5</w:t>
      </w:r>
      <w:r w:rsidRPr="005107D9">
        <w:rPr>
          <w:rFonts w:cs="Arial"/>
        </w:rPr>
        <w:t>.</w:t>
      </w:r>
    </w:p>
    <w:p w14:paraId="2485F433" w14:textId="7F15CC6C" w:rsidR="004865D4" w:rsidRPr="00DC4A80" w:rsidRDefault="004865D4" w:rsidP="004865D4">
      <w:pPr>
        <w:numPr>
          <w:ilvl w:val="0"/>
          <w:numId w:val="24"/>
        </w:numPr>
        <w:contextualSpacing/>
        <w:rPr>
          <w:rFonts w:cs="Arial"/>
        </w:rPr>
      </w:pPr>
      <w:r w:rsidRPr="00DC4A80">
        <w:rPr>
          <w:rFonts w:cs="Arial"/>
        </w:rPr>
        <w:t>USPDI, Micromedex; 202</w:t>
      </w:r>
      <w:r>
        <w:rPr>
          <w:rFonts w:cs="Arial"/>
        </w:rPr>
        <w:t>5</w:t>
      </w:r>
      <w:r w:rsidRPr="00DC4A80">
        <w:rPr>
          <w:rFonts w:cs="Arial"/>
        </w:rPr>
        <w:t>.</w:t>
      </w:r>
    </w:p>
    <w:p w14:paraId="3FA1E7DB" w14:textId="4769EB9E" w:rsidR="00777CA4" w:rsidRPr="004865D4" w:rsidRDefault="004865D4" w:rsidP="004865D4">
      <w:pPr>
        <w:numPr>
          <w:ilvl w:val="0"/>
          <w:numId w:val="24"/>
        </w:numPr>
        <w:rPr>
          <w:rFonts w:cs="Arial"/>
        </w:rPr>
      </w:pPr>
      <w:r w:rsidRPr="00BF4E23">
        <w:rPr>
          <w:rFonts w:cs="Arial"/>
          <w:szCs w:val="20"/>
        </w:rPr>
        <w:t>Facts and Comparisons eAnswers (online); 202</w:t>
      </w:r>
      <w:r>
        <w:rPr>
          <w:rFonts w:cs="Arial"/>
          <w:szCs w:val="20"/>
        </w:rPr>
        <w:t>5</w:t>
      </w:r>
      <w:r w:rsidRPr="00BF4E23">
        <w:rPr>
          <w:rFonts w:cs="Arial"/>
          <w:szCs w:val="20"/>
        </w:rPr>
        <w:t xml:space="preserve"> Clinical Drug Information, LLC. </w:t>
      </w:r>
    </w:p>
    <w:sectPr w:rsidR="00777CA4" w:rsidRPr="004865D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95D3" w14:textId="77777777" w:rsidR="00735C3C" w:rsidRPr="00C02553" w:rsidRDefault="00735C3C" w:rsidP="00AE77DB">
      <w:r w:rsidRPr="00C02553">
        <w:separator/>
      </w:r>
    </w:p>
  </w:endnote>
  <w:endnote w:type="continuationSeparator" w:id="0">
    <w:p w14:paraId="3ABCD035" w14:textId="77777777" w:rsidR="00735C3C" w:rsidRPr="00C02553" w:rsidRDefault="00735C3C" w:rsidP="00AE77DB">
      <w:r w:rsidRPr="00C02553">
        <w:continuationSeparator/>
      </w:r>
    </w:p>
  </w:endnote>
  <w:endnote w:type="continuationNotice" w:id="1">
    <w:p w14:paraId="384DDEE5" w14:textId="77777777" w:rsidR="00735C3C" w:rsidRPr="00C02553" w:rsidRDefault="00735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0745" w14:textId="77777777" w:rsidR="00735C3C" w:rsidRPr="00C02553" w:rsidRDefault="00735C3C" w:rsidP="00AE77DB">
      <w:r w:rsidRPr="00C02553">
        <w:separator/>
      </w:r>
    </w:p>
  </w:footnote>
  <w:footnote w:type="continuationSeparator" w:id="0">
    <w:p w14:paraId="002BF3C6" w14:textId="77777777" w:rsidR="00735C3C" w:rsidRPr="00C02553" w:rsidRDefault="00735C3C" w:rsidP="00AE77DB">
      <w:r w:rsidRPr="00C02553">
        <w:continuationSeparator/>
      </w:r>
    </w:p>
  </w:footnote>
  <w:footnote w:type="continuationNotice" w:id="1">
    <w:p w14:paraId="24CBBDBC" w14:textId="77777777" w:rsidR="00735C3C" w:rsidRPr="00C02553" w:rsidRDefault="00735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256F2D">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256F2D">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256F2D">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155C07"/>
    <w:multiLevelType w:val="hybridMultilevel"/>
    <w:tmpl w:val="8B3056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8D40C3"/>
    <w:multiLevelType w:val="multilevel"/>
    <w:tmpl w:val="E1A2A51C"/>
    <w:numStyleLink w:val="References"/>
  </w:abstractNum>
  <w:abstractNum w:abstractNumId="6" w15:restartNumberingAfterBreak="0">
    <w:nsid w:val="0DAD4D24"/>
    <w:multiLevelType w:val="hybridMultilevel"/>
    <w:tmpl w:val="5F1419D6"/>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1C44CB4"/>
    <w:multiLevelType w:val="multilevel"/>
    <w:tmpl w:val="12583168"/>
    <w:lvl w:ilvl="0">
      <w:start w:val="1"/>
      <w:numFmt w:val="bullet"/>
      <w:lvlText w:val=""/>
      <w:lvlJc w:val="left"/>
      <w:pPr>
        <w:tabs>
          <w:tab w:val="num" w:pos="360"/>
        </w:tabs>
        <w:ind w:left="360" w:hanging="360"/>
      </w:pPr>
      <w:rPr>
        <w:rFonts w:ascii="Symbol" w:hAnsi="Symbol" w:hint="default"/>
        <w:sz w:val="20"/>
        <w:szCs w:val="24"/>
      </w:rPr>
    </w:lvl>
    <w:lvl w:ilvl="1">
      <w:start w:val="1"/>
      <w:numFmt w:val="bullet"/>
      <w:lvlText w:val="o"/>
      <w:lvlJc w:val="left"/>
      <w:pPr>
        <w:tabs>
          <w:tab w:val="num" w:pos="720"/>
        </w:tabs>
        <w:ind w:left="72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E5805"/>
    <w:multiLevelType w:val="hybridMultilevel"/>
    <w:tmpl w:val="E708AA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3B57081"/>
    <w:multiLevelType w:val="hybridMultilevel"/>
    <w:tmpl w:val="906E5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554485"/>
    <w:multiLevelType w:val="hybridMultilevel"/>
    <w:tmpl w:val="E13E9B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CF58B5"/>
    <w:multiLevelType w:val="hybridMultilevel"/>
    <w:tmpl w:val="B5A6446E"/>
    <w:lvl w:ilvl="0" w:tplc="AF5009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E954B8"/>
    <w:multiLevelType w:val="hybridMultilevel"/>
    <w:tmpl w:val="B5D2D6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220EE6"/>
    <w:multiLevelType w:val="hybridMultilevel"/>
    <w:tmpl w:val="A6BE7630"/>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769C1A90"/>
    <w:multiLevelType w:val="hybridMultilevel"/>
    <w:tmpl w:val="766EB89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3"/>
  </w:num>
  <w:num w:numId="3" w16cid:durableId="1729067566">
    <w:abstractNumId w:val="5"/>
  </w:num>
  <w:num w:numId="4" w16cid:durableId="320159068">
    <w:abstractNumId w:val="10"/>
  </w:num>
  <w:num w:numId="5" w16cid:durableId="1769498754">
    <w:abstractNumId w:val="3"/>
  </w:num>
  <w:num w:numId="6" w16cid:durableId="1094596320">
    <w:abstractNumId w:val="18"/>
  </w:num>
  <w:num w:numId="7" w16cid:durableId="2110008555">
    <w:abstractNumId w:val="2"/>
  </w:num>
  <w:num w:numId="8" w16cid:durableId="489712751">
    <w:abstractNumId w:val="9"/>
  </w:num>
  <w:num w:numId="9" w16cid:durableId="1085147965">
    <w:abstractNumId w:val="15"/>
  </w:num>
  <w:num w:numId="10" w16cid:durableId="917518096">
    <w:abstractNumId w:val="11"/>
  </w:num>
  <w:num w:numId="11" w16cid:durableId="1894998475">
    <w:abstractNumId w:val="1"/>
  </w:num>
  <w:num w:numId="12" w16cid:durableId="1418215296">
    <w:abstractNumId w:val="19"/>
  </w:num>
  <w:num w:numId="13" w16cid:durableId="604729665">
    <w:abstractNumId w:val="8"/>
  </w:num>
  <w:num w:numId="14" w16cid:durableId="1805081292">
    <w:abstractNumId w:val="16"/>
  </w:num>
  <w:num w:numId="15" w16cid:durableId="1114205384">
    <w:abstractNumId w:val="13"/>
  </w:num>
  <w:num w:numId="16" w16cid:durableId="1149520603">
    <w:abstractNumId w:val="4"/>
  </w:num>
  <w:num w:numId="17" w16cid:durableId="1259757450">
    <w:abstractNumId w:val="17"/>
  </w:num>
  <w:num w:numId="18" w16cid:durableId="1325351904">
    <w:abstractNumId w:val="6"/>
  </w:num>
  <w:num w:numId="19" w16cid:durableId="508300641">
    <w:abstractNumId w:val="21"/>
  </w:num>
  <w:num w:numId="20" w16cid:durableId="156850787">
    <w:abstractNumId w:val="22"/>
  </w:num>
  <w:num w:numId="21" w16cid:durableId="2142965823">
    <w:abstractNumId w:val="20"/>
  </w:num>
  <w:num w:numId="22" w16cid:durableId="416948192">
    <w:abstractNumId w:val="14"/>
  </w:num>
  <w:num w:numId="23" w16cid:durableId="1278290770">
    <w:abstractNumId w:val="7"/>
  </w:num>
  <w:num w:numId="24" w16cid:durableId="55443468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1D04"/>
    <w:rsid w:val="00074464"/>
    <w:rsid w:val="00076030"/>
    <w:rsid w:val="00082590"/>
    <w:rsid w:val="000913C3"/>
    <w:rsid w:val="000953B9"/>
    <w:rsid w:val="000A413B"/>
    <w:rsid w:val="000A6279"/>
    <w:rsid w:val="000B27F2"/>
    <w:rsid w:val="000B496B"/>
    <w:rsid w:val="000C3940"/>
    <w:rsid w:val="000C5992"/>
    <w:rsid w:val="000E1479"/>
    <w:rsid w:val="000E231E"/>
    <w:rsid w:val="000E247D"/>
    <w:rsid w:val="000E6B14"/>
    <w:rsid w:val="000E70D8"/>
    <w:rsid w:val="000F26C1"/>
    <w:rsid w:val="00100C83"/>
    <w:rsid w:val="001052D6"/>
    <w:rsid w:val="001062F6"/>
    <w:rsid w:val="00111A28"/>
    <w:rsid w:val="00112FC7"/>
    <w:rsid w:val="00125F5F"/>
    <w:rsid w:val="00126951"/>
    <w:rsid w:val="00126B60"/>
    <w:rsid w:val="00127EF6"/>
    <w:rsid w:val="001310AD"/>
    <w:rsid w:val="001314A5"/>
    <w:rsid w:val="00132C7F"/>
    <w:rsid w:val="00144DBE"/>
    <w:rsid w:val="00152C8B"/>
    <w:rsid w:val="0015636A"/>
    <w:rsid w:val="00172053"/>
    <w:rsid w:val="00176BCC"/>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56F2D"/>
    <w:rsid w:val="00270C5E"/>
    <w:rsid w:val="00287312"/>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0715"/>
    <w:rsid w:val="0032215C"/>
    <w:rsid w:val="0032616B"/>
    <w:rsid w:val="00326687"/>
    <w:rsid w:val="003275F9"/>
    <w:rsid w:val="003355AC"/>
    <w:rsid w:val="00343D6B"/>
    <w:rsid w:val="00347FB5"/>
    <w:rsid w:val="00355515"/>
    <w:rsid w:val="003608B5"/>
    <w:rsid w:val="003613AF"/>
    <w:rsid w:val="003878C1"/>
    <w:rsid w:val="00396C0B"/>
    <w:rsid w:val="00397FFC"/>
    <w:rsid w:val="003A630F"/>
    <w:rsid w:val="003B3958"/>
    <w:rsid w:val="003B4820"/>
    <w:rsid w:val="003B5F4B"/>
    <w:rsid w:val="003B682F"/>
    <w:rsid w:val="003C53FC"/>
    <w:rsid w:val="003C6310"/>
    <w:rsid w:val="003C7013"/>
    <w:rsid w:val="003D204A"/>
    <w:rsid w:val="003D2F04"/>
    <w:rsid w:val="003D641B"/>
    <w:rsid w:val="003E6C64"/>
    <w:rsid w:val="003F227C"/>
    <w:rsid w:val="004023CC"/>
    <w:rsid w:val="00407564"/>
    <w:rsid w:val="00411152"/>
    <w:rsid w:val="004156AA"/>
    <w:rsid w:val="00421890"/>
    <w:rsid w:val="004253A1"/>
    <w:rsid w:val="004313B6"/>
    <w:rsid w:val="00433339"/>
    <w:rsid w:val="00436269"/>
    <w:rsid w:val="00446BBC"/>
    <w:rsid w:val="004472C0"/>
    <w:rsid w:val="00450705"/>
    <w:rsid w:val="00451928"/>
    <w:rsid w:val="00456ECB"/>
    <w:rsid w:val="0046618B"/>
    <w:rsid w:val="004732DB"/>
    <w:rsid w:val="0048608C"/>
    <w:rsid w:val="004865D4"/>
    <w:rsid w:val="00496E57"/>
    <w:rsid w:val="004A2F95"/>
    <w:rsid w:val="004A3CA2"/>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1860"/>
    <w:rsid w:val="005233E7"/>
    <w:rsid w:val="005328B2"/>
    <w:rsid w:val="00535BD5"/>
    <w:rsid w:val="0053761F"/>
    <w:rsid w:val="00540977"/>
    <w:rsid w:val="00551668"/>
    <w:rsid w:val="005572D5"/>
    <w:rsid w:val="005604E2"/>
    <w:rsid w:val="00566BE4"/>
    <w:rsid w:val="00570D21"/>
    <w:rsid w:val="00573856"/>
    <w:rsid w:val="00576113"/>
    <w:rsid w:val="00590652"/>
    <w:rsid w:val="0059235F"/>
    <w:rsid w:val="00596936"/>
    <w:rsid w:val="00596C42"/>
    <w:rsid w:val="005A2F1E"/>
    <w:rsid w:val="005A4232"/>
    <w:rsid w:val="005B6CBE"/>
    <w:rsid w:val="005C3616"/>
    <w:rsid w:val="005D36B2"/>
    <w:rsid w:val="005D3BD6"/>
    <w:rsid w:val="005D52E7"/>
    <w:rsid w:val="005D78B5"/>
    <w:rsid w:val="005E3572"/>
    <w:rsid w:val="005E45E4"/>
    <w:rsid w:val="005E5C15"/>
    <w:rsid w:val="005F0A81"/>
    <w:rsid w:val="005F0FCF"/>
    <w:rsid w:val="0060042F"/>
    <w:rsid w:val="006008BC"/>
    <w:rsid w:val="00602CFD"/>
    <w:rsid w:val="00606B55"/>
    <w:rsid w:val="00612A7B"/>
    <w:rsid w:val="00616E5E"/>
    <w:rsid w:val="006173A4"/>
    <w:rsid w:val="00617E50"/>
    <w:rsid w:val="006205AD"/>
    <w:rsid w:val="00625C3A"/>
    <w:rsid w:val="0063388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A61A4"/>
    <w:rsid w:val="006B561D"/>
    <w:rsid w:val="006B6D5D"/>
    <w:rsid w:val="006D2330"/>
    <w:rsid w:val="006E0F8B"/>
    <w:rsid w:val="006E12F7"/>
    <w:rsid w:val="006E29D7"/>
    <w:rsid w:val="007068A4"/>
    <w:rsid w:val="00706D67"/>
    <w:rsid w:val="00713052"/>
    <w:rsid w:val="00721367"/>
    <w:rsid w:val="007231FA"/>
    <w:rsid w:val="007236CA"/>
    <w:rsid w:val="00732C67"/>
    <w:rsid w:val="00734418"/>
    <w:rsid w:val="00735C3C"/>
    <w:rsid w:val="007546B4"/>
    <w:rsid w:val="00757826"/>
    <w:rsid w:val="007632B7"/>
    <w:rsid w:val="0076382F"/>
    <w:rsid w:val="00765768"/>
    <w:rsid w:val="00765D10"/>
    <w:rsid w:val="00766AC8"/>
    <w:rsid w:val="00767486"/>
    <w:rsid w:val="0077070E"/>
    <w:rsid w:val="0077296A"/>
    <w:rsid w:val="00773608"/>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2944"/>
    <w:rsid w:val="00865538"/>
    <w:rsid w:val="00870875"/>
    <w:rsid w:val="0088225C"/>
    <w:rsid w:val="00884026"/>
    <w:rsid w:val="00884C78"/>
    <w:rsid w:val="008859E1"/>
    <w:rsid w:val="00895F20"/>
    <w:rsid w:val="00896264"/>
    <w:rsid w:val="00896441"/>
    <w:rsid w:val="008A5D88"/>
    <w:rsid w:val="008B2851"/>
    <w:rsid w:val="008C000E"/>
    <w:rsid w:val="008D0F2F"/>
    <w:rsid w:val="008D237F"/>
    <w:rsid w:val="008D6B05"/>
    <w:rsid w:val="008E7D2D"/>
    <w:rsid w:val="008F44C0"/>
    <w:rsid w:val="008F5999"/>
    <w:rsid w:val="00903AD6"/>
    <w:rsid w:val="00904D7A"/>
    <w:rsid w:val="00915332"/>
    <w:rsid w:val="009204BB"/>
    <w:rsid w:val="0092159B"/>
    <w:rsid w:val="00935918"/>
    <w:rsid w:val="00935EC3"/>
    <w:rsid w:val="00951097"/>
    <w:rsid w:val="00953C1E"/>
    <w:rsid w:val="0096210F"/>
    <w:rsid w:val="00962633"/>
    <w:rsid w:val="00963187"/>
    <w:rsid w:val="00963ACF"/>
    <w:rsid w:val="00963D1C"/>
    <w:rsid w:val="00964284"/>
    <w:rsid w:val="0097028A"/>
    <w:rsid w:val="00973BD6"/>
    <w:rsid w:val="009758E5"/>
    <w:rsid w:val="00984549"/>
    <w:rsid w:val="00984FDA"/>
    <w:rsid w:val="00985D28"/>
    <w:rsid w:val="0099147B"/>
    <w:rsid w:val="00991BF0"/>
    <w:rsid w:val="009A0FB1"/>
    <w:rsid w:val="009A1FAC"/>
    <w:rsid w:val="009B001A"/>
    <w:rsid w:val="009B1A62"/>
    <w:rsid w:val="009B70FF"/>
    <w:rsid w:val="009C3CC7"/>
    <w:rsid w:val="009D2057"/>
    <w:rsid w:val="009D3D6C"/>
    <w:rsid w:val="009D53DC"/>
    <w:rsid w:val="009D5551"/>
    <w:rsid w:val="009D62DB"/>
    <w:rsid w:val="009E3B42"/>
    <w:rsid w:val="00A05B60"/>
    <w:rsid w:val="00A127F5"/>
    <w:rsid w:val="00A13266"/>
    <w:rsid w:val="00A14FA6"/>
    <w:rsid w:val="00A15D64"/>
    <w:rsid w:val="00A16463"/>
    <w:rsid w:val="00A20575"/>
    <w:rsid w:val="00A32452"/>
    <w:rsid w:val="00A32BBF"/>
    <w:rsid w:val="00A37444"/>
    <w:rsid w:val="00A42559"/>
    <w:rsid w:val="00A4281A"/>
    <w:rsid w:val="00A459CF"/>
    <w:rsid w:val="00A459FD"/>
    <w:rsid w:val="00A5014D"/>
    <w:rsid w:val="00A53E96"/>
    <w:rsid w:val="00A56F18"/>
    <w:rsid w:val="00A628F8"/>
    <w:rsid w:val="00A62BAA"/>
    <w:rsid w:val="00A66172"/>
    <w:rsid w:val="00A7414A"/>
    <w:rsid w:val="00A744C3"/>
    <w:rsid w:val="00AA70AB"/>
    <w:rsid w:val="00AB0B9F"/>
    <w:rsid w:val="00AB113C"/>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40D00"/>
    <w:rsid w:val="00B42D10"/>
    <w:rsid w:val="00B507A5"/>
    <w:rsid w:val="00B52475"/>
    <w:rsid w:val="00B535DA"/>
    <w:rsid w:val="00B56DCC"/>
    <w:rsid w:val="00B56F54"/>
    <w:rsid w:val="00B638C2"/>
    <w:rsid w:val="00B7089F"/>
    <w:rsid w:val="00B758AB"/>
    <w:rsid w:val="00B76277"/>
    <w:rsid w:val="00B772AB"/>
    <w:rsid w:val="00B80395"/>
    <w:rsid w:val="00B80B56"/>
    <w:rsid w:val="00B86372"/>
    <w:rsid w:val="00BA15B2"/>
    <w:rsid w:val="00BA1C17"/>
    <w:rsid w:val="00BA1D65"/>
    <w:rsid w:val="00BA2E66"/>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0E59"/>
    <w:rsid w:val="00C22C89"/>
    <w:rsid w:val="00C2586C"/>
    <w:rsid w:val="00C26001"/>
    <w:rsid w:val="00C2777E"/>
    <w:rsid w:val="00C34E72"/>
    <w:rsid w:val="00C56B1F"/>
    <w:rsid w:val="00C61B52"/>
    <w:rsid w:val="00C62745"/>
    <w:rsid w:val="00C654CA"/>
    <w:rsid w:val="00C722C9"/>
    <w:rsid w:val="00C72704"/>
    <w:rsid w:val="00C763BD"/>
    <w:rsid w:val="00C779A8"/>
    <w:rsid w:val="00C82E19"/>
    <w:rsid w:val="00C957CC"/>
    <w:rsid w:val="00C96873"/>
    <w:rsid w:val="00CA1735"/>
    <w:rsid w:val="00CA3C4B"/>
    <w:rsid w:val="00CA7252"/>
    <w:rsid w:val="00CB2C5A"/>
    <w:rsid w:val="00CB34AF"/>
    <w:rsid w:val="00CC41CE"/>
    <w:rsid w:val="00CD6A3C"/>
    <w:rsid w:val="00CE08CD"/>
    <w:rsid w:val="00CE0C1C"/>
    <w:rsid w:val="00CE34AF"/>
    <w:rsid w:val="00CF00A4"/>
    <w:rsid w:val="00CF25FB"/>
    <w:rsid w:val="00CF4485"/>
    <w:rsid w:val="00CF614C"/>
    <w:rsid w:val="00D02F34"/>
    <w:rsid w:val="00D13D87"/>
    <w:rsid w:val="00D16590"/>
    <w:rsid w:val="00D20720"/>
    <w:rsid w:val="00D250D9"/>
    <w:rsid w:val="00D27533"/>
    <w:rsid w:val="00D37EE0"/>
    <w:rsid w:val="00D42DA3"/>
    <w:rsid w:val="00D4546D"/>
    <w:rsid w:val="00D47996"/>
    <w:rsid w:val="00D61118"/>
    <w:rsid w:val="00D614F1"/>
    <w:rsid w:val="00D70D50"/>
    <w:rsid w:val="00D71917"/>
    <w:rsid w:val="00D72311"/>
    <w:rsid w:val="00D97B00"/>
    <w:rsid w:val="00DA3A0F"/>
    <w:rsid w:val="00DA4E62"/>
    <w:rsid w:val="00DA6990"/>
    <w:rsid w:val="00DB27BA"/>
    <w:rsid w:val="00DB337A"/>
    <w:rsid w:val="00DC0EF2"/>
    <w:rsid w:val="00DC51CB"/>
    <w:rsid w:val="00DD4819"/>
    <w:rsid w:val="00DD4B8A"/>
    <w:rsid w:val="00DD5403"/>
    <w:rsid w:val="00DE1388"/>
    <w:rsid w:val="00DE364A"/>
    <w:rsid w:val="00DE7501"/>
    <w:rsid w:val="00DF0655"/>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B6821"/>
    <w:rsid w:val="00EB7E78"/>
    <w:rsid w:val="00EC2738"/>
    <w:rsid w:val="00ED7B42"/>
    <w:rsid w:val="00EE3EA5"/>
    <w:rsid w:val="00EE613F"/>
    <w:rsid w:val="00EE6BD1"/>
    <w:rsid w:val="00EF0262"/>
    <w:rsid w:val="00EF0828"/>
    <w:rsid w:val="00EF6F8B"/>
    <w:rsid w:val="00F03898"/>
    <w:rsid w:val="00F049A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1FAE"/>
    <w:rsid w:val="00F95D04"/>
    <w:rsid w:val="00FA16EC"/>
    <w:rsid w:val="00FA2811"/>
    <w:rsid w:val="00FA4837"/>
    <w:rsid w:val="00FB1D33"/>
    <w:rsid w:val="00FB5E96"/>
    <w:rsid w:val="00FC05A0"/>
    <w:rsid w:val="00FC6758"/>
    <w:rsid w:val="00FD294A"/>
    <w:rsid w:val="00FD34EA"/>
    <w:rsid w:val="00FE3F3E"/>
    <w:rsid w:val="00FE4D52"/>
    <w:rsid w:val="00FE5AEE"/>
    <w:rsid w:val="00FF106B"/>
    <w:rsid w:val="00FF65DF"/>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3C6310"/>
    <w:rPr>
      <w:sz w:val="16"/>
      <w:szCs w:val="16"/>
    </w:rPr>
  </w:style>
  <w:style w:type="paragraph" w:styleId="CommentSubject">
    <w:name w:val="annotation subject"/>
    <w:basedOn w:val="CommentText"/>
    <w:next w:val="CommentText"/>
    <w:link w:val="CommentSubjectChar"/>
    <w:uiPriority w:val="99"/>
    <w:semiHidden/>
    <w:unhideWhenUsed/>
    <w:rsid w:val="003C6310"/>
    <w:rPr>
      <w:b/>
      <w:bCs/>
    </w:rPr>
  </w:style>
  <w:style w:type="character" w:customStyle="1" w:styleId="CommentTextChar">
    <w:name w:val="Comment Text Char"/>
    <w:basedOn w:val="DefaultParagraphFont"/>
    <w:link w:val="CommentText"/>
    <w:semiHidden/>
    <w:rsid w:val="003C6310"/>
    <w:rPr>
      <w:rFonts w:ascii="Arial" w:hAnsi="Arial"/>
    </w:rPr>
  </w:style>
  <w:style w:type="character" w:customStyle="1" w:styleId="CommentSubjectChar">
    <w:name w:val="Comment Subject Char"/>
    <w:basedOn w:val="CommentTextChar"/>
    <w:link w:val="CommentSubject"/>
    <w:uiPriority w:val="99"/>
    <w:semiHidden/>
    <w:rsid w:val="003C6310"/>
    <w:rPr>
      <w:rFonts w:ascii="Arial" w:hAnsi="Arial"/>
      <w:b/>
      <w:bCs/>
    </w:rPr>
  </w:style>
  <w:style w:type="paragraph" w:styleId="Revision">
    <w:name w:val="Revision"/>
    <w:hidden/>
    <w:uiPriority w:val="99"/>
    <w:semiHidden/>
    <w:rsid w:val="00D37EE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992BC-7C11-4A83-A97F-D2E41AE80BFC}">
  <ds:schemaRefs>
    <ds:schemaRef ds:uri="http://purl.org/dc/terms/"/>
    <ds:schemaRef ds:uri="http://purl.org/dc/elements/1.1/"/>
    <ds:schemaRef ds:uri="f5eefb00-5952-4f7e-8cf8-96f81cfadd01"/>
    <ds:schemaRef ds:uri="http://schemas.microsoft.com/office/2006/documentManagement/types"/>
    <ds:schemaRef ds:uri="http://purl.org/dc/dcmitype/"/>
    <ds:schemaRef ds:uri="http://schemas.microsoft.com/office/infopath/2007/PartnerControls"/>
    <ds:schemaRef ds:uri="aba01ddc-ae9a-4c9e-819c-7140b4239cde"/>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58BAB51A-2529-4055-B367-BBF61725B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560</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Skeletal Muscle Relaxants PDL Edit</dc:title>
  <dc:creator>DMS</dc:creator>
  <cp:lastModifiedBy>Dolan, John</cp:lastModifiedBy>
  <cp:revision>56</cp:revision>
  <cp:lastPrinted>2018-10-31T20:17:00Z</cp:lastPrinted>
  <dcterms:created xsi:type="dcterms:W3CDTF">2025-09-19T16:48:00Z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