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30D16E19" w:rsidR="004C5767" w:rsidRPr="008859E1" w:rsidRDefault="004C5767" w:rsidP="00D27533">
      <w:pPr>
        <w:pStyle w:val="tbody"/>
        <w:rPr>
          <w:b w:val="0"/>
          <w:bCs/>
        </w:rPr>
      </w:pPr>
      <w:r w:rsidRPr="00C02553">
        <w:t>Drug/Drug Class:</w:t>
      </w:r>
      <w:r w:rsidR="003B4820" w:rsidRPr="00573856">
        <w:rPr>
          <w:b w:val="0"/>
          <w:bCs/>
        </w:rPr>
        <w:t xml:space="preserve"> </w:t>
      </w:r>
      <w:r w:rsidR="00C07CA3" w:rsidRPr="00C07CA3">
        <w:rPr>
          <w:b w:val="0"/>
          <w:bCs/>
        </w:rPr>
        <w:t>Neuropathic Pain Agents PDL Edit</w:t>
      </w:r>
    </w:p>
    <w:p w14:paraId="7AD7FFCE" w14:textId="655DBB76" w:rsidR="004C5767" w:rsidRPr="00C02553" w:rsidRDefault="004C5767" w:rsidP="00D27533">
      <w:pPr>
        <w:pStyle w:val="tbody"/>
      </w:pPr>
      <w:r w:rsidRPr="00C02553">
        <w:t>First Implementation Date:</w:t>
      </w:r>
      <w:r w:rsidRPr="00573856">
        <w:rPr>
          <w:b w:val="0"/>
          <w:bCs/>
        </w:rPr>
        <w:t xml:space="preserve"> </w:t>
      </w:r>
      <w:r w:rsidR="00F0532C" w:rsidRPr="00F0532C">
        <w:rPr>
          <w:b w:val="0"/>
          <w:bCs/>
        </w:rPr>
        <w:t>May 29, 2013</w:t>
      </w:r>
    </w:p>
    <w:p w14:paraId="4B7D760D" w14:textId="77F84E4D" w:rsidR="004C5767" w:rsidRPr="00057F84" w:rsidRDefault="00F41F69" w:rsidP="70E341D6">
      <w:pPr>
        <w:pStyle w:val="tbody"/>
        <w:rPr>
          <w:b w:val="0"/>
        </w:rPr>
      </w:pPr>
      <w:r>
        <w:t>Propo</w:t>
      </w:r>
      <w:r w:rsidR="004C5767">
        <w:t>sed Date:</w:t>
      </w:r>
      <w:r w:rsidR="00065C22">
        <w:t xml:space="preserve"> </w:t>
      </w:r>
      <w:r w:rsidR="00057F84">
        <w:rPr>
          <w:b w:val="0"/>
        </w:rPr>
        <w:t>January 20,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4C66A8CE" w:rsidR="004C5767" w:rsidRPr="00D27533" w:rsidRDefault="004C5767" w:rsidP="00D27533">
      <w:pPr>
        <w:pStyle w:val="tbody"/>
        <w:rPr>
          <w:b w:val="0"/>
          <w:bCs/>
          <w:spacing w:val="-3"/>
        </w:rPr>
      </w:pPr>
      <w:r w:rsidRPr="00C02553">
        <w:t xml:space="preserve">Criteria Status: </w:t>
      </w:r>
      <w:r w:rsidR="00566BE4">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1F081B92" w14:textId="77777777" w:rsidR="000323E1" w:rsidRPr="00A9656A" w:rsidRDefault="000323E1" w:rsidP="000323E1">
      <w:pPr>
        <w:pStyle w:val="Header"/>
        <w:tabs>
          <w:tab w:val="clear" w:pos="4320"/>
          <w:tab w:val="clear" w:pos="8640"/>
        </w:tabs>
        <w:rPr>
          <w:rFonts w:cs="Arial"/>
          <w:spacing w:val="-3"/>
          <w:sz w:val="20"/>
          <w:szCs w:val="24"/>
        </w:rPr>
      </w:pPr>
      <w:r w:rsidRPr="00A9656A">
        <w:rPr>
          <w:rFonts w:cs="Arial"/>
          <w:spacing w:val="-3"/>
          <w:sz w:val="20"/>
          <w:szCs w:val="24"/>
        </w:rPr>
        <w:t xml:space="preserve">Neuropathic pain results from damage or disease affecting the somatosensory system. It may be associated with abnormal sensations and pain produced by normally non-painful stimuli. Neuropathic pain may have continuous and/or episodic components. Common symptoms include burning or coldness, pins and needles sensations, numbness, and itching. This type of pain may result from disorders of the peripheral nervous system or the central nervous </w:t>
      </w:r>
      <w:r w:rsidRPr="00A9656A">
        <w:rPr>
          <w:rFonts w:cs="Arial"/>
          <w:noProof/>
          <w:spacing w:val="-3"/>
          <w:sz w:val="20"/>
          <w:szCs w:val="24"/>
        </w:rPr>
        <w:t>system</w:t>
      </w:r>
      <w:r w:rsidRPr="00A9656A">
        <w:rPr>
          <w:rFonts w:cs="Arial"/>
          <w:spacing w:val="-3"/>
          <w:sz w:val="20"/>
          <w:szCs w:val="24"/>
        </w:rPr>
        <w:t xml:space="preserve"> and </w:t>
      </w:r>
      <w:r w:rsidRPr="00A9656A">
        <w:rPr>
          <w:rFonts w:cs="Arial"/>
          <w:noProof/>
          <w:spacing w:val="-3"/>
          <w:sz w:val="20"/>
          <w:szCs w:val="24"/>
        </w:rPr>
        <w:t>may be divided</w:t>
      </w:r>
      <w:r w:rsidRPr="00A9656A">
        <w:rPr>
          <w:rFonts w:cs="Arial"/>
          <w:spacing w:val="-3"/>
          <w:sz w:val="20"/>
          <w:szCs w:val="24"/>
        </w:rPr>
        <w:t xml:space="preserve"> into peripheral or central neuropathic pain, or mixed (which includes both).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3658A768" w14:textId="77777777" w:rsidR="00640F75" w:rsidRPr="00640F75" w:rsidRDefault="00640F75" w:rsidP="00640F75">
      <w:pPr>
        <w:numPr>
          <w:ilvl w:val="0"/>
          <w:numId w:val="15"/>
        </w:numPr>
      </w:pPr>
      <w:r w:rsidRPr="00640F75">
        <w:t>Gabapentin Caps/IR Tabs</w:t>
      </w:r>
    </w:p>
    <w:p w14:paraId="1B393E9B" w14:textId="77777777" w:rsidR="00640F75" w:rsidRDefault="00640F75" w:rsidP="00640F75">
      <w:pPr>
        <w:numPr>
          <w:ilvl w:val="0"/>
          <w:numId w:val="15"/>
        </w:numPr>
      </w:pPr>
      <w:r w:rsidRPr="00640F75">
        <w:t>Lidocaine 4% Patch OTC</w:t>
      </w:r>
    </w:p>
    <w:p w14:paraId="47320590" w14:textId="5254D341" w:rsidR="00FD34EA" w:rsidRDefault="00640F75" w:rsidP="00640F75">
      <w:pPr>
        <w:numPr>
          <w:ilvl w:val="0"/>
          <w:numId w:val="15"/>
        </w:numPr>
      </w:pPr>
      <w:r w:rsidRPr="00640F75">
        <w:t>Lidocaine 5% Patch</w:t>
      </w:r>
    </w:p>
    <w:p w14:paraId="31FB0DBC" w14:textId="77777777" w:rsidR="00640F75" w:rsidRPr="00640F75" w:rsidRDefault="00640F75" w:rsidP="00640F75"/>
    <w:p w14:paraId="56404718" w14:textId="252714AD" w:rsidR="00846FA4" w:rsidRDefault="00846FA4" w:rsidP="00846FA4">
      <w:pPr>
        <w:rPr>
          <w:b/>
          <w:bCs/>
        </w:rPr>
      </w:pPr>
      <w:r>
        <w:rPr>
          <w:b/>
          <w:bCs/>
        </w:rPr>
        <w:t>Non-Preferred Agents:</w:t>
      </w:r>
    </w:p>
    <w:p w14:paraId="56C8AC5D" w14:textId="77777777" w:rsidR="000915B3" w:rsidRDefault="000915B3" w:rsidP="000915B3">
      <w:pPr>
        <w:numPr>
          <w:ilvl w:val="0"/>
          <w:numId w:val="15"/>
        </w:numPr>
      </w:pPr>
      <w:r w:rsidRPr="000915B3">
        <w:t>Gabapentin ER Tabs/Soln</w:t>
      </w:r>
    </w:p>
    <w:p w14:paraId="5B14A396" w14:textId="6D3B5324" w:rsidR="007275C3" w:rsidRPr="000915B3" w:rsidRDefault="003352A5" w:rsidP="000915B3">
      <w:pPr>
        <w:numPr>
          <w:ilvl w:val="0"/>
          <w:numId w:val="15"/>
        </w:numPr>
        <w:rPr>
          <w:b/>
          <w:bCs/>
          <w:color w:val="1F497D" w:themeColor="text2"/>
        </w:rPr>
      </w:pPr>
      <w:proofErr w:type="spellStart"/>
      <w:r w:rsidRPr="00FF0F51">
        <w:rPr>
          <w:b/>
          <w:bCs/>
          <w:color w:val="1F497D" w:themeColor="text2"/>
        </w:rPr>
        <w:t>Gabarone</w:t>
      </w:r>
      <w:proofErr w:type="spellEnd"/>
      <w:r w:rsidRPr="00D66E1B">
        <w:rPr>
          <w:b/>
          <w:bCs/>
          <w:color w:val="1F497D" w:themeColor="text2"/>
          <w:szCs w:val="20"/>
          <w:vertAlign w:val="superscript"/>
        </w:rPr>
        <w:t>™</w:t>
      </w:r>
    </w:p>
    <w:p w14:paraId="6B894FD0" w14:textId="77777777" w:rsidR="000915B3" w:rsidRPr="000915B3" w:rsidRDefault="000915B3" w:rsidP="000915B3">
      <w:pPr>
        <w:numPr>
          <w:ilvl w:val="0"/>
          <w:numId w:val="15"/>
        </w:numPr>
      </w:pPr>
      <w:r w:rsidRPr="000915B3">
        <w:t>Gralise</w:t>
      </w:r>
      <w:r w:rsidRPr="000915B3">
        <w:rPr>
          <w:vertAlign w:val="superscript"/>
        </w:rPr>
        <w:t>®</w:t>
      </w:r>
    </w:p>
    <w:p w14:paraId="0DC7CB36" w14:textId="77777777" w:rsidR="000915B3" w:rsidRPr="000915B3" w:rsidRDefault="000915B3" w:rsidP="000915B3">
      <w:pPr>
        <w:numPr>
          <w:ilvl w:val="0"/>
          <w:numId w:val="15"/>
        </w:numPr>
      </w:pPr>
      <w:r w:rsidRPr="000915B3">
        <w:t>Horizant</w:t>
      </w:r>
      <w:r w:rsidRPr="000915B3">
        <w:rPr>
          <w:vertAlign w:val="superscript"/>
        </w:rPr>
        <w:t>®</w:t>
      </w:r>
    </w:p>
    <w:p w14:paraId="44CB98C7" w14:textId="77777777" w:rsidR="000915B3" w:rsidRPr="000915B3" w:rsidRDefault="000915B3" w:rsidP="000915B3">
      <w:pPr>
        <w:numPr>
          <w:ilvl w:val="0"/>
          <w:numId w:val="15"/>
        </w:numPr>
      </w:pPr>
      <w:r w:rsidRPr="000915B3">
        <w:t>Lidoderm</w:t>
      </w:r>
      <w:r w:rsidRPr="000915B3">
        <w:rPr>
          <w:vertAlign w:val="superscript"/>
        </w:rPr>
        <w:t>®</w:t>
      </w:r>
      <w:r w:rsidRPr="000915B3">
        <w:t xml:space="preserve"> 5% Patch</w:t>
      </w:r>
    </w:p>
    <w:p w14:paraId="51B0F30B" w14:textId="77777777" w:rsidR="000915B3" w:rsidRPr="000915B3" w:rsidRDefault="000915B3" w:rsidP="000915B3">
      <w:pPr>
        <w:numPr>
          <w:ilvl w:val="0"/>
          <w:numId w:val="15"/>
        </w:numPr>
      </w:pPr>
      <w:r w:rsidRPr="000915B3">
        <w:t>Neurontin</w:t>
      </w:r>
      <w:r w:rsidRPr="000915B3">
        <w:rPr>
          <w:vertAlign w:val="superscript"/>
        </w:rPr>
        <w:t>®</w:t>
      </w:r>
    </w:p>
    <w:p w14:paraId="5B002F5F" w14:textId="77777777" w:rsidR="000915B3" w:rsidRDefault="000915B3" w:rsidP="000915B3">
      <w:pPr>
        <w:numPr>
          <w:ilvl w:val="0"/>
          <w:numId w:val="15"/>
        </w:numPr>
      </w:pPr>
      <w:r w:rsidRPr="000915B3">
        <w:t>Qutenza</w:t>
      </w:r>
      <w:r w:rsidRPr="000915B3">
        <w:rPr>
          <w:vertAlign w:val="superscript"/>
        </w:rPr>
        <w:t>®</w:t>
      </w:r>
    </w:p>
    <w:p w14:paraId="6D696800" w14:textId="6712E5A1" w:rsidR="00E23EC0" w:rsidRPr="000915B3" w:rsidRDefault="000915B3" w:rsidP="000915B3">
      <w:pPr>
        <w:numPr>
          <w:ilvl w:val="0"/>
          <w:numId w:val="15"/>
        </w:numPr>
      </w:pPr>
      <w:r w:rsidRPr="000915B3">
        <w:t>Ztlido</w:t>
      </w:r>
      <w:r w:rsidRPr="000915B3">
        <w:rPr>
          <w:vertAlign w:val="superscript"/>
        </w:rPr>
        <w:t>®</w:t>
      </w: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6C6721F0" w:rsidR="0097028A" w:rsidRPr="0079438F" w:rsidRDefault="0097028A" w:rsidP="00696E3A">
      <w:pPr>
        <w:rPr>
          <w:b/>
        </w:rPr>
      </w:pPr>
      <w:r w:rsidRPr="00696E3A">
        <w:rPr>
          <w:b/>
          <w:bCs/>
        </w:rPr>
        <w:t>Drug class for review:</w:t>
      </w:r>
      <w:r w:rsidRPr="00C02553">
        <w:t xml:space="preserve"> </w:t>
      </w:r>
      <w:r w:rsidR="00AE263D" w:rsidRPr="00A9656A">
        <w:rPr>
          <w:rFonts w:cs="Arial"/>
        </w:rPr>
        <w:t>Neuropathic Pain Agents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0554893F" w14:textId="77777777" w:rsidR="008A4ADE" w:rsidRDefault="008A4ADE" w:rsidP="008A4ADE">
      <w:pPr>
        <w:pStyle w:val="paragraph"/>
        <w:numPr>
          <w:ilvl w:val="0"/>
          <w:numId w:val="16"/>
        </w:numPr>
        <w:spacing w:before="0" w:beforeAutospacing="0" w:after="0" w:afterAutospacing="0"/>
        <w:textAlignment w:val="baseline"/>
        <w:rPr>
          <w:rStyle w:val="normaltextrun"/>
          <w:rFonts w:cs="Arial"/>
        </w:rPr>
      </w:pPr>
      <w:r>
        <w:rPr>
          <w:rStyle w:val="normaltextrun"/>
          <w:rFonts w:cs="Arial"/>
        </w:rPr>
        <w:t xml:space="preserve">Must meet one of the following: </w:t>
      </w:r>
    </w:p>
    <w:p w14:paraId="1721E399" w14:textId="77777777" w:rsidR="008A4ADE" w:rsidRPr="00793EDA" w:rsidRDefault="008A4ADE" w:rsidP="008A4ADE">
      <w:pPr>
        <w:pStyle w:val="paragraph"/>
        <w:numPr>
          <w:ilvl w:val="1"/>
          <w:numId w:val="16"/>
        </w:numPr>
        <w:spacing w:before="0" w:beforeAutospacing="0" w:after="0" w:afterAutospacing="0"/>
        <w:textAlignment w:val="baseline"/>
        <w:rPr>
          <w:rStyle w:val="normaltextrun"/>
          <w:rFonts w:cs="Arial"/>
        </w:rPr>
      </w:pPr>
      <w:r w:rsidRPr="00793EDA">
        <w:rPr>
          <w:rStyle w:val="normaltextrun"/>
          <w:rFonts w:cs="Arial"/>
        </w:rPr>
        <w:t xml:space="preserve">Claim is for a preferred agent; </w:t>
      </w:r>
      <w:r w:rsidRPr="00793EDA">
        <w:rPr>
          <w:rStyle w:val="normaltextrun"/>
          <w:rFonts w:cs="Arial"/>
          <w:b/>
          <w:bCs/>
        </w:rPr>
        <w:t>OR</w:t>
      </w:r>
    </w:p>
    <w:p w14:paraId="0A25106B" w14:textId="77777777" w:rsidR="008A4ADE" w:rsidRPr="00793EDA" w:rsidRDefault="008A4ADE" w:rsidP="008A4ADE">
      <w:pPr>
        <w:pStyle w:val="paragraph"/>
        <w:numPr>
          <w:ilvl w:val="1"/>
          <w:numId w:val="16"/>
        </w:numPr>
        <w:spacing w:before="0" w:beforeAutospacing="0" w:after="0" w:afterAutospacing="0"/>
        <w:textAlignment w:val="baseline"/>
        <w:rPr>
          <w:rFonts w:cs="Arial"/>
        </w:rPr>
      </w:pPr>
      <w:r w:rsidRPr="00793EDA">
        <w:rPr>
          <w:rStyle w:val="normaltextrun"/>
          <w:rFonts w:cs="Arial"/>
        </w:rPr>
        <w:t>Failure to achieve desired therapeutic outcomes with a trial on 2 or more preferred agents;</w:t>
      </w:r>
      <w:r w:rsidRPr="00793EDA">
        <w:rPr>
          <w:rStyle w:val="eop"/>
          <w:rFonts w:cs="Arial"/>
        </w:rPr>
        <w:t> </w:t>
      </w:r>
    </w:p>
    <w:p w14:paraId="4AF39650" w14:textId="77777777" w:rsidR="008A4ADE" w:rsidRPr="00793EDA" w:rsidRDefault="008A4ADE" w:rsidP="008A4ADE">
      <w:pPr>
        <w:pStyle w:val="paragraph"/>
        <w:numPr>
          <w:ilvl w:val="2"/>
          <w:numId w:val="16"/>
        </w:numPr>
        <w:spacing w:before="0" w:beforeAutospacing="0" w:after="0" w:afterAutospacing="0"/>
        <w:textAlignment w:val="baseline"/>
        <w:rPr>
          <w:rFonts w:cs="Arial"/>
        </w:rPr>
      </w:pPr>
      <w:r w:rsidRPr="00793EDA">
        <w:rPr>
          <w:rStyle w:val="normaltextrun"/>
          <w:rFonts w:cs="Arial"/>
        </w:rPr>
        <w:lastRenderedPageBreak/>
        <w:t>Documented trial period for preferred agents;</w:t>
      </w:r>
      <w:r w:rsidRPr="00793EDA">
        <w:rPr>
          <w:rStyle w:val="eop"/>
          <w:rFonts w:cs="Arial"/>
        </w:rPr>
        <w:t> </w:t>
      </w:r>
      <w:r w:rsidRPr="00793EDA">
        <w:rPr>
          <w:rStyle w:val="eop"/>
          <w:rFonts w:cs="Arial"/>
          <w:b/>
        </w:rPr>
        <w:t>OR</w:t>
      </w:r>
    </w:p>
    <w:p w14:paraId="7DDA52CD" w14:textId="77777777" w:rsidR="008A4ADE" w:rsidRPr="00793EDA" w:rsidRDefault="008A4ADE" w:rsidP="008A4ADE">
      <w:pPr>
        <w:pStyle w:val="paragraph"/>
        <w:numPr>
          <w:ilvl w:val="2"/>
          <w:numId w:val="16"/>
        </w:numPr>
        <w:spacing w:before="0" w:beforeAutospacing="0" w:after="0" w:afterAutospacing="0"/>
        <w:textAlignment w:val="baseline"/>
        <w:rPr>
          <w:rFonts w:cs="Arial"/>
        </w:rPr>
      </w:pPr>
      <w:r w:rsidRPr="00793EDA">
        <w:rPr>
          <w:rStyle w:val="normaltextrun"/>
          <w:rFonts w:cs="Arial"/>
        </w:rPr>
        <w:t>Documented ADE/ADR to preferred agents.</w:t>
      </w:r>
      <w:r w:rsidRPr="00793EDA">
        <w:rPr>
          <w:rStyle w:val="eop"/>
          <w:rFonts w:cs="Arial"/>
        </w:rPr>
        <w:t> </w:t>
      </w:r>
    </w:p>
    <w:p w14:paraId="3BA77736" w14:textId="77777777" w:rsidR="008A4ADE" w:rsidRPr="00793EDA" w:rsidRDefault="008A4ADE" w:rsidP="008A4ADE">
      <w:pPr>
        <w:pStyle w:val="paragraph"/>
        <w:numPr>
          <w:ilvl w:val="0"/>
          <w:numId w:val="16"/>
        </w:numPr>
        <w:spacing w:before="0" w:beforeAutospacing="0" w:after="0" w:afterAutospacing="0"/>
        <w:textAlignment w:val="baseline"/>
        <w:rPr>
          <w:rStyle w:val="eop"/>
          <w:rFonts w:cs="Arial"/>
        </w:rPr>
      </w:pPr>
      <w:r w:rsidRPr="00793EDA">
        <w:rPr>
          <w:rStyle w:val="eop"/>
          <w:rFonts w:cs="Arial"/>
        </w:rPr>
        <w:t xml:space="preserve">Additional approval criteria for gabapentin solution: </w:t>
      </w:r>
    </w:p>
    <w:p w14:paraId="22952C75" w14:textId="77777777" w:rsidR="008A4ADE" w:rsidRPr="00793EDA" w:rsidRDefault="008A4ADE" w:rsidP="008A4ADE">
      <w:pPr>
        <w:pStyle w:val="paragraph"/>
        <w:numPr>
          <w:ilvl w:val="1"/>
          <w:numId w:val="16"/>
        </w:numPr>
        <w:spacing w:before="0" w:beforeAutospacing="0" w:after="0" w:afterAutospacing="0"/>
        <w:textAlignment w:val="baseline"/>
        <w:rPr>
          <w:rStyle w:val="eop"/>
          <w:rFonts w:cs="Arial"/>
        </w:rPr>
      </w:pPr>
      <w:r w:rsidRPr="00793EDA">
        <w:rPr>
          <w:rStyle w:val="eop"/>
          <w:rFonts w:cs="Arial"/>
        </w:rPr>
        <w:t xml:space="preserve">Participant aged ≤ 10 years. </w:t>
      </w:r>
    </w:p>
    <w:p w14:paraId="4FD7562D" w14:textId="77777777" w:rsidR="008A4ADE" w:rsidRPr="00793EDA" w:rsidRDefault="008A4ADE" w:rsidP="008A4ADE">
      <w:pPr>
        <w:pStyle w:val="paragraph"/>
        <w:numPr>
          <w:ilvl w:val="0"/>
          <w:numId w:val="16"/>
        </w:numPr>
        <w:spacing w:before="0" w:beforeAutospacing="0" w:after="0" w:afterAutospacing="0"/>
        <w:textAlignment w:val="baseline"/>
        <w:rPr>
          <w:rStyle w:val="eop"/>
          <w:rFonts w:cs="Arial"/>
        </w:rPr>
      </w:pPr>
      <w:r w:rsidRPr="00793EDA">
        <w:rPr>
          <w:rStyle w:val="eop"/>
          <w:rFonts w:cs="Arial"/>
        </w:rPr>
        <w:t xml:space="preserve">Additional approval criteria for Horizant for diagnosis of restless legs syndrome: </w:t>
      </w:r>
    </w:p>
    <w:p w14:paraId="1311D5BD" w14:textId="77777777" w:rsidR="008A4ADE" w:rsidRPr="00793EDA" w:rsidRDefault="008A4ADE" w:rsidP="008A4ADE">
      <w:pPr>
        <w:pStyle w:val="paragraph"/>
        <w:numPr>
          <w:ilvl w:val="1"/>
          <w:numId w:val="16"/>
        </w:numPr>
        <w:spacing w:before="0" w:beforeAutospacing="0" w:after="0" w:afterAutospacing="0"/>
        <w:textAlignment w:val="baseline"/>
        <w:rPr>
          <w:rStyle w:val="eop"/>
          <w:rFonts w:cs="Arial"/>
        </w:rPr>
      </w:pPr>
      <w:r w:rsidRPr="00793EDA">
        <w:rPr>
          <w:rStyle w:val="eop"/>
          <w:rFonts w:cs="Arial"/>
        </w:rPr>
        <w:t xml:space="preserve">Therapeutic trial of ropinirole or pramipexole (trial defined as 30/180 days); </w:t>
      </w:r>
      <w:r w:rsidRPr="00793EDA">
        <w:rPr>
          <w:rStyle w:val="eop"/>
          <w:rFonts w:cs="Arial"/>
          <w:b/>
        </w:rPr>
        <w:t>OR</w:t>
      </w:r>
    </w:p>
    <w:p w14:paraId="2E4181E3" w14:textId="77777777" w:rsidR="008A4ADE" w:rsidRPr="00793EDA" w:rsidRDefault="008A4ADE" w:rsidP="008A4ADE">
      <w:pPr>
        <w:pStyle w:val="paragraph"/>
        <w:numPr>
          <w:ilvl w:val="1"/>
          <w:numId w:val="16"/>
        </w:numPr>
        <w:spacing w:before="0" w:beforeAutospacing="0" w:after="0" w:afterAutospacing="0"/>
        <w:textAlignment w:val="baseline"/>
        <w:rPr>
          <w:rStyle w:val="eop"/>
          <w:rFonts w:cs="Arial"/>
        </w:rPr>
      </w:pPr>
      <w:r w:rsidRPr="00793EDA">
        <w:rPr>
          <w:rStyle w:val="eop"/>
          <w:rFonts w:cs="Arial"/>
        </w:rPr>
        <w:t>Documented ADE/ADR to ropinirole or pramipexole.</w:t>
      </w:r>
    </w:p>
    <w:p w14:paraId="2220AD38" w14:textId="77777777" w:rsidR="008A4ADE" w:rsidRPr="00793EDA" w:rsidRDefault="008A4ADE" w:rsidP="008A4ADE">
      <w:pPr>
        <w:pStyle w:val="paragraph"/>
        <w:numPr>
          <w:ilvl w:val="0"/>
          <w:numId w:val="16"/>
        </w:numPr>
        <w:spacing w:before="0" w:beforeAutospacing="0" w:after="0" w:afterAutospacing="0"/>
        <w:textAlignment w:val="baseline"/>
        <w:rPr>
          <w:rStyle w:val="eop"/>
          <w:rFonts w:cs="Arial"/>
        </w:rPr>
      </w:pPr>
      <w:r w:rsidRPr="00793EDA">
        <w:rPr>
          <w:rStyle w:val="eop"/>
          <w:rFonts w:cs="Arial"/>
        </w:rPr>
        <w:t xml:space="preserve">Additional approval criteria for </w:t>
      </w:r>
      <w:r w:rsidRPr="00697475">
        <w:rPr>
          <w:rStyle w:val="eop"/>
          <w:rFonts w:cs="Arial"/>
        </w:rPr>
        <w:t xml:space="preserve">gabapentin ER tablets: </w:t>
      </w:r>
    </w:p>
    <w:p w14:paraId="5AA20952" w14:textId="77777777" w:rsidR="008A4ADE" w:rsidRPr="00793EDA" w:rsidRDefault="008A4ADE" w:rsidP="008A4ADE">
      <w:pPr>
        <w:pStyle w:val="paragraph"/>
        <w:numPr>
          <w:ilvl w:val="1"/>
          <w:numId w:val="16"/>
        </w:numPr>
        <w:spacing w:before="0" w:beforeAutospacing="0" w:after="0" w:afterAutospacing="0"/>
        <w:textAlignment w:val="baseline"/>
        <w:rPr>
          <w:rStyle w:val="eop"/>
          <w:rFonts w:cs="Arial"/>
        </w:rPr>
      </w:pPr>
      <w:r w:rsidRPr="00793EDA">
        <w:rPr>
          <w:rStyle w:val="eop"/>
          <w:rFonts w:cs="Arial"/>
        </w:rPr>
        <w:t>Documented allergy to ≥ 3 immediate-release gabapentin products.</w:t>
      </w:r>
    </w:p>
    <w:p w14:paraId="154C6FAD" w14:textId="77777777" w:rsidR="008A4ADE" w:rsidRPr="00793EDA" w:rsidRDefault="008A4ADE" w:rsidP="008A4ADE">
      <w:pPr>
        <w:pStyle w:val="ListParagraph"/>
        <w:numPr>
          <w:ilvl w:val="0"/>
          <w:numId w:val="16"/>
        </w:numPr>
        <w:rPr>
          <w:rStyle w:val="eop"/>
          <w:rFonts w:cs="Arial"/>
        </w:rPr>
      </w:pPr>
      <w:r w:rsidRPr="00793EDA">
        <w:rPr>
          <w:rStyle w:val="eop"/>
          <w:rFonts w:cs="Arial"/>
        </w:rPr>
        <w:t>Additional approval criteria for Qutenza:</w:t>
      </w:r>
    </w:p>
    <w:p w14:paraId="3064EE01" w14:textId="77777777" w:rsidR="008A4ADE" w:rsidRPr="00793EDA" w:rsidRDefault="008A4ADE" w:rsidP="008A4ADE">
      <w:pPr>
        <w:pStyle w:val="ListParagraph"/>
        <w:numPr>
          <w:ilvl w:val="1"/>
          <w:numId w:val="16"/>
        </w:numPr>
        <w:rPr>
          <w:rStyle w:val="eop"/>
          <w:rFonts w:cs="Arial"/>
        </w:rPr>
      </w:pPr>
      <w:r w:rsidRPr="00793EDA">
        <w:rPr>
          <w:rStyle w:val="eop"/>
          <w:rFonts w:cs="Arial"/>
          <w:szCs w:val="20"/>
        </w:rPr>
        <w:t>Therapeutic trial of all of the following:</w:t>
      </w:r>
    </w:p>
    <w:p w14:paraId="2B0B7202" w14:textId="77777777" w:rsidR="008A4ADE" w:rsidRPr="00793EDA" w:rsidRDefault="008A4ADE" w:rsidP="008A4ADE">
      <w:pPr>
        <w:pStyle w:val="ListParagraph"/>
        <w:numPr>
          <w:ilvl w:val="2"/>
          <w:numId w:val="16"/>
        </w:numPr>
        <w:rPr>
          <w:rStyle w:val="eop"/>
          <w:rFonts w:cs="Arial"/>
        </w:rPr>
      </w:pPr>
      <w:r w:rsidRPr="00793EDA">
        <w:rPr>
          <w:rStyle w:val="eop"/>
          <w:rFonts w:cs="Arial"/>
          <w:szCs w:val="20"/>
        </w:rPr>
        <w:t>Serotonin and norepinephrine reuptake inhibitor (SNRI) or Tricyclic antidepressant (TCA) with efficacy in the treatment of neuropathic pain;</w:t>
      </w:r>
    </w:p>
    <w:p w14:paraId="712181CD" w14:textId="77777777" w:rsidR="008A4ADE" w:rsidRPr="00793EDA" w:rsidRDefault="008A4ADE" w:rsidP="008A4ADE">
      <w:pPr>
        <w:pStyle w:val="ListParagraph"/>
        <w:numPr>
          <w:ilvl w:val="2"/>
          <w:numId w:val="16"/>
        </w:numPr>
        <w:rPr>
          <w:rStyle w:val="eop"/>
          <w:rFonts w:cs="Arial"/>
        </w:rPr>
      </w:pPr>
      <w:r w:rsidRPr="00793EDA">
        <w:rPr>
          <w:rStyle w:val="eop"/>
          <w:rFonts w:cs="Arial"/>
          <w:szCs w:val="20"/>
        </w:rPr>
        <w:t xml:space="preserve">Gabapentinoid (gabapentin or pregabalin); </w:t>
      </w:r>
      <w:r w:rsidRPr="00793EDA">
        <w:rPr>
          <w:rStyle w:val="eop"/>
          <w:rFonts w:cs="Arial"/>
          <w:b/>
          <w:bCs/>
          <w:szCs w:val="20"/>
        </w:rPr>
        <w:t>AND</w:t>
      </w:r>
    </w:p>
    <w:p w14:paraId="40CB6453" w14:textId="3C750782" w:rsidR="00D86370" w:rsidRPr="008170F9" w:rsidRDefault="008A4ADE" w:rsidP="00344121">
      <w:pPr>
        <w:pStyle w:val="ListParagraph"/>
        <w:numPr>
          <w:ilvl w:val="2"/>
          <w:numId w:val="16"/>
        </w:numPr>
        <w:rPr>
          <w:rStyle w:val="eop"/>
          <w:rFonts w:cs="Arial"/>
        </w:rPr>
      </w:pPr>
      <w:r w:rsidRPr="00793EDA">
        <w:rPr>
          <w:rStyle w:val="eop"/>
          <w:rFonts w:cs="Arial"/>
          <w:szCs w:val="20"/>
        </w:rPr>
        <w:t>Lidocaine patches.</w:t>
      </w:r>
    </w:p>
    <w:p w14:paraId="57303A62" w14:textId="44ACB73C" w:rsidR="008170F9" w:rsidRPr="00E7517F" w:rsidRDefault="008170F9" w:rsidP="008170F9">
      <w:pPr>
        <w:pStyle w:val="ListParagraph"/>
        <w:numPr>
          <w:ilvl w:val="0"/>
          <w:numId w:val="16"/>
        </w:numPr>
        <w:rPr>
          <w:rStyle w:val="eop"/>
          <w:rFonts w:cs="Arial"/>
          <w:b/>
          <w:bCs/>
          <w:color w:val="1F497D" w:themeColor="text2"/>
        </w:rPr>
      </w:pPr>
      <w:r w:rsidRPr="00E7517F">
        <w:rPr>
          <w:rStyle w:val="eop"/>
          <w:rFonts w:cs="Arial"/>
          <w:b/>
          <w:bCs/>
          <w:color w:val="1F497D" w:themeColor="text2"/>
        </w:rPr>
        <w:t>Additional approval criteria for Gabarone tablets:</w:t>
      </w:r>
    </w:p>
    <w:p w14:paraId="2927D835" w14:textId="78A08939" w:rsidR="008170F9" w:rsidRPr="00E7517F" w:rsidRDefault="00031F97" w:rsidP="00031F97">
      <w:pPr>
        <w:pStyle w:val="ListParagraph"/>
        <w:numPr>
          <w:ilvl w:val="1"/>
          <w:numId w:val="16"/>
        </w:numPr>
        <w:rPr>
          <w:rStyle w:val="eop"/>
          <w:rFonts w:cs="Arial"/>
          <w:b/>
          <w:bCs/>
          <w:color w:val="1F497D" w:themeColor="text2"/>
        </w:rPr>
      </w:pPr>
      <w:r w:rsidRPr="00E7517F">
        <w:rPr>
          <w:rStyle w:val="eop"/>
          <w:rFonts w:cs="Arial"/>
          <w:b/>
          <w:bCs/>
          <w:color w:val="1F497D" w:themeColor="text2"/>
        </w:rPr>
        <w:t>Documented reason of medical necessity why generic capsules cannot be utilized.</w:t>
      </w:r>
    </w:p>
    <w:p w14:paraId="45E99F56" w14:textId="77777777" w:rsidR="008A4ADE" w:rsidRPr="00793EDA" w:rsidRDefault="008A4ADE" w:rsidP="008A4ADE">
      <w:pPr>
        <w:pStyle w:val="ListParagraph"/>
        <w:numPr>
          <w:ilvl w:val="0"/>
          <w:numId w:val="16"/>
        </w:numPr>
        <w:rPr>
          <w:rStyle w:val="eop"/>
          <w:rFonts w:cs="Arial"/>
        </w:rPr>
      </w:pPr>
      <w:r w:rsidRPr="00793EDA">
        <w:rPr>
          <w:rStyle w:val="eop"/>
          <w:rFonts w:cs="Arial"/>
        </w:rPr>
        <w:t>Additional approval criteria for gabapentin agents:</w:t>
      </w:r>
    </w:p>
    <w:p w14:paraId="2E927E5C" w14:textId="1ACD29A8" w:rsidR="008A4ADE" w:rsidRPr="00793EDA" w:rsidRDefault="008A4ADE" w:rsidP="008A4ADE">
      <w:pPr>
        <w:pStyle w:val="ListParagraph"/>
        <w:numPr>
          <w:ilvl w:val="1"/>
          <w:numId w:val="16"/>
        </w:numPr>
        <w:rPr>
          <w:rStyle w:val="eop"/>
          <w:rFonts w:cs="Arial"/>
        </w:rPr>
      </w:pPr>
      <w:r w:rsidRPr="00793EDA">
        <w:rPr>
          <w:rStyle w:val="eop"/>
          <w:rFonts w:cs="Arial"/>
          <w:szCs w:val="20"/>
        </w:rPr>
        <w:t>Participant must also meet all approval criteria contained within the High Risk Therapies Clinical Edit</w:t>
      </w:r>
      <w:r w:rsidR="00691E5E">
        <w:rPr>
          <w:rStyle w:val="eop"/>
          <w:rFonts w:cs="Arial"/>
          <w:szCs w:val="20"/>
        </w:rPr>
        <w:t xml:space="preserve">. </w:t>
      </w:r>
      <w:r w:rsidR="00B22821">
        <w:rPr>
          <w:rStyle w:val="eop"/>
          <w:rFonts w:cs="Arial"/>
          <w:szCs w:val="20"/>
        </w:rPr>
        <w:t>C</w:t>
      </w:r>
      <w:r w:rsidR="00697475">
        <w:rPr>
          <w:rStyle w:val="eop"/>
          <w:rFonts w:cs="Arial"/>
          <w:szCs w:val="20"/>
        </w:rPr>
        <w:t>riteria can be found here:</w:t>
      </w:r>
      <w:r w:rsidRPr="00793EDA">
        <w:rPr>
          <w:rStyle w:val="eop"/>
          <w:rFonts w:cs="Arial"/>
          <w:szCs w:val="20"/>
        </w:rPr>
        <w:t xml:space="preserve"> </w:t>
      </w:r>
      <w:hyperlink r:id="rId11" w:tooltip="Pharmacy Clinical Edits and Preferred Drug Lists | mydss.mo.gov" w:history="1">
        <w:r w:rsidR="00697475" w:rsidRPr="00697475">
          <w:rPr>
            <w:rStyle w:val="Hyperlink"/>
            <w:rFonts w:cs="Arial"/>
            <w:szCs w:val="20"/>
            <w:shd w:val="clear" w:color="auto" w:fill="FFFFFF"/>
          </w:rPr>
          <w:t>Pharmacy Clinical Edits and Preferred Drug Lists | mydss.mo.gov</w:t>
        </w:r>
      </w:hyperlink>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074503E5" w14:textId="77777777" w:rsidR="002A0267" w:rsidRPr="00793EDA" w:rsidRDefault="002A0267" w:rsidP="002A0267">
      <w:pPr>
        <w:numPr>
          <w:ilvl w:val="1"/>
          <w:numId w:val="6"/>
        </w:numPr>
        <w:rPr>
          <w:rFonts w:cs="Arial"/>
        </w:rPr>
      </w:pPr>
      <w:r w:rsidRPr="00793EDA">
        <w:rPr>
          <w:rFonts w:cs="Arial"/>
        </w:rPr>
        <w:t>Any approval criteria are not met;</w:t>
      </w:r>
    </w:p>
    <w:p w14:paraId="7DB30D21" w14:textId="77777777" w:rsidR="002A0267" w:rsidRPr="00793EDA" w:rsidRDefault="002A0267" w:rsidP="002A0267">
      <w:pPr>
        <w:numPr>
          <w:ilvl w:val="1"/>
          <w:numId w:val="6"/>
        </w:numPr>
        <w:rPr>
          <w:rFonts w:cs="Arial"/>
        </w:rPr>
      </w:pPr>
      <w:r w:rsidRPr="00793EDA">
        <w:rPr>
          <w:rFonts w:cs="Arial"/>
        </w:rPr>
        <w:t xml:space="preserve">For gabapentin: </w:t>
      </w:r>
    </w:p>
    <w:p w14:paraId="590B99E2" w14:textId="77777777" w:rsidR="002A0267" w:rsidRPr="00793EDA" w:rsidRDefault="002A0267" w:rsidP="002A0267">
      <w:pPr>
        <w:numPr>
          <w:ilvl w:val="2"/>
          <w:numId w:val="6"/>
        </w:numPr>
        <w:rPr>
          <w:rFonts w:cs="Arial"/>
        </w:rPr>
      </w:pPr>
      <w:r w:rsidRPr="00793EDA">
        <w:rPr>
          <w:rFonts w:cs="Arial"/>
        </w:rPr>
        <w:t xml:space="preserve">Documented history of pregabalin therapy in the past 30 days; </w:t>
      </w:r>
      <w:r w:rsidRPr="00793EDA">
        <w:rPr>
          <w:rFonts w:cs="Arial"/>
          <w:b/>
          <w:bCs/>
        </w:rPr>
        <w:t>OR</w:t>
      </w:r>
    </w:p>
    <w:p w14:paraId="6D737EB6" w14:textId="77777777" w:rsidR="002A0267" w:rsidRPr="002A0267" w:rsidRDefault="002A0267" w:rsidP="002A0267">
      <w:pPr>
        <w:pStyle w:val="ListParagraph"/>
        <w:numPr>
          <w:ilvl w:val="2"/>
          <w:numId w:val="6"/>
        </w:numPr>
      </w:pPr>
      <w:r w:rsidRPr="00793EDA">
        <w:rPr>
          <w:rFonts w:cs="Arial"/>
          <w:bCs/>
        </w:rPr>
        <w:t xml:space="preserve">Cumulative daily doses &gt; 2,400 mg; </w:t>
      </w:r>
      <w:r w:rsidRPr="00793EDA">
        <w:rPr>
          <w:rFonts w:cs="Arial"/>
          <w:b/>
        </w:rPr>
        <w:t>OR</w:t>
      </w:r>
      <w:r w:rsidRPr="00793EDA">
        <w:rPr>
          <w:rFonts w:cs="Arial"/>
        </w:rPr>
        <w:t xml:space="preserve"> </w:t>
      </w:r>
    </w:p>
    <w:p w14:paraId="1D97C1E5" w14:textId="66F55966" w:rsidR="00904D7A" w:rsidRPr="005328B2" w:rsidRDefault="00904D7A" w:rsidP="002A0267">
      <w:pPr>
        <w:pStyle w:val="ListParagraph"/>
        <w:numPr>
          <w:ilvl w:val="1"/>
          <w:numId w:val="6"/>
        </w:numPr>
      </w:pPr>
      <w:r w:rsidRPr="005328B2">
        <w:t>Claim exceeds maximum dosing limitations:</w:t>
      </w:r>
    </w:p>
    <w:tbl>
      <w:tblPr>
        <w:tblStyle w:val="TableGrid"/>
        <w:tblW w:w="0" w:type="auto"/>
        <w:tblLook w:val="0620" w:firstRow="1" w:lastRow="0" w:firstColumn="0" w:lastColumn="0" w:noHBand="1" w:noVBand="1"/>
      </w:tblPr>
      <w:tblGrid>
        <w:gridCol w:w="3865"/>
        <w:gridCol w:w="3060"/>
        <w:gridCol w:w="2425"/>
      </w:tblGrid>
      <w:tr w:rsidR="00904D7A" w:rsidRPr="00C02553" w14:paraId="1F6DE132" w14:textId="77777777" w:rsidTr="00981A70">
        <w:trPr>
          <w:trHeight w:val="276"/>
        </w:trPr>
        <w:tc>
          <w:tcPr>
            <w:tcW w:w="3865" w:type="dxa"/>
            <w:shd w:val="clear" w:color="auto" w:fill="FABF8F"/>
          </w:tcPr>
          <w:p w14:paraId="61F61DB2" w14:textId="77777777" w:rsidR="00904D7A" w:rsidRPr="00C02553" w:rsidRDefault="00904D7A" w:rsidP="00493594">
            <w:pPr>
              <w:jc w:val="center"/>
              <w:rPr>
                <w:rFonts w:cs="Arial"/>
                <w:b/>
                <w:bCs/>
                <w:szCs w:val="20"/>
              </w:rPr>
            </w:pPr>
            <w:r w:rsidRPr="00C02553">
              <w:rPr>
                <w:rFonts w:cs="Arial"/>
                <w:b/>
                <w:bCs/>
                <w:szCs w:val="20"/>
              </w:rPr>
              <w:t>Drug Description</w:t>
            </w:r>
          </w:p>
        </w:tc>
        <w:tc>
          <w:tcPr>
            <w:tcW w:w="3060" w:type="dxa"/>
            <w:shd w:val="clear" w:color="auto" w:fill="FABF8F"/>
          </w:tcPr>
          <w:p w14:paraId="39DE15A6" w14:textId="77777777" w:rsidR="00904D7A" w:rsidRPr="00C02553" w:rsidRDefault="00904D7A" w:rsidP="00493594">
            <w:pPr>
              <w:jc w:val="center"/>
              <w:rPr>
                <w:rFonts w:cs="Arial"/>
                <w:b/>
                <w:bCs/>
                <w:szCs w:val="20"/>
              </w:rPr>
            </w:pPr>
            <w:r w:rsidRPr="00C02553">
              <w:rPr>
                <w:rFonts w:cs="Arial"/>
                <w:b/>
                <w:bCs/>
                <w:szCs w:val="20"/>
              </w:rPr>
              <w:t>Generic Equivalent</w:t>
            </w:r>
          </w:p>
        </w:tc>
        <w:tc>
          <w:tcPr>
            <w:tcW w:w="2425" w:type="dxa"/>
            <w:shd w:val="clear" w:color="auto" w:fill="FABF8F"/>
          </w:tcPr>
          <w:p w14:paraId="17F14EEF" w14:textId="1C4B07D0" w:rsidR="00904D7A" w:rsidRPr="00C02553" w:rsidRDefault="00981A70" w:rsidP="00493594">
            <w:pPr>
              <w:jc w:val="center"/>
              <w:rPr>
                <w:rFonts w:cs="Arial"/>
                <w:b/>
                <w:bCs/>
                <w:szCs w:val="20"/>
              </w:rPr>
            </w:pPr>
            <w:r>
              <w:rPr>
                <w:rFonts w:cs="Arial"/>
                <w:b/>
                <w:bCs/>
                <w:szCs w:val="20"/>
              </w:rPr>
              <w:t>Max Units per Day</w:t>
            </w:r>
          </w:p>
        </w:tc>
      </w:tr>
      <w:tr w:rsidR="00981A70" w:rsidRPr="00C02553" w14:paraId="05C5E883" w14:textId="77777777" w:rsidTr="00981A70">
        <w:trPr>
          <w:trHeight w:val="276"/>
        </w:trPr>
        <w:tc>
          <w:tcPr>
            <w:tcW w:w="3865" w:type="dxa"/>
            <w:vAlign w:val="bottom"/>
          </w:tcPr>
          <w:p w14:paraId="556501BF" w14:textId="77203AF2" w:rsidR="00981A70" w:rsidRPr="00F730BA" w:rsidRDefault="00981A70" w:rsidP="00981A70">
            <w:pPr>
              <w:rPr>
                <w:rFonts w:cs="Arial"/>
                <w:szCs w:val="20"/>
              </w:rPr>
            </w:pPr>
            <w:r w:rsidRPr="00D56C4D">
              <w:rPr>
                <w:rFonts w:cs="Arial"/>
                <w:szCs w:val="20"/>
              </w:rPr>
              <w:t>GABAPENTIN 250 MG/CUP SOLUTION</w:t>
            </w:r>
          </w:p>
        </w:tc>
        <w:tc>
          <w:tcPr>
            <w:tcW w:w="3060" w:type="dxa"/>
            <w:vAlign w:val="bottom"/>
          </w:tcPr>
          <w:p w14:paraId="1F00DA46" w14:textId="630C6737" w:rsidR="00981A70" w:rsidRPr="00F730BA" w:rsidRDefault="00981A70" w:rsidP="00981A70">
            <w:pPr>
              <w:rPr>
                <w:rFonts w:cs="Arial"/>
                <w:caps/>
                <w:szCs w:val="20"/>
              </w:rPr>
            </w:pPr>
            <w:r w:rsidRPr="00D56C4D">
              <w:rPr>
                <w:rFonts w:cs="Arial"/>
                <w:szCs w:val="20"/>
              </w:rPr>
              <w:t>GABAPENTIN</w:t>
            </w:r>
          </w:p>
        </w:tc>
        <w:tc>
          <w:tcPr>
            <w:tcW w:w="2425" w:type="dxa"/>
            <w:vAlign w:val="bottom"/>
          </w:tcPr>
          <w:p w14:paraId="7EC279C1" w14:textId="5C5D3D8D" w:rsidR="00981A70" w:rsidRPr="00F730BA" w:rsidRDefault="00981A70" w:rsidP="003D5AFB">
            <w:pPr>
              <w:jc w:val="center"/>
              <w:rPr>
                <w:rFonts w:cs="Arial"/>
                <w:szCs w:val="20"/>
              </w:rPr>
            </w:pPr>
            <w:r w:rsidRPr="00396A04">
              <w:rPr>
                <w:rFonts w:cs="Arial"/>
              </w:rPr>
              <w:t>48 mL</w:t>
            </w:r>
          </w:p>
        </w:tc>
      </w:tr>
      <w:tr w:rsidR="00981A70" w:rsidRPr="00C02553" w14:paraId="76BC9981" w14:textId="77777777" w:rsidTr="00981A70">
        <w:trPr>
          <w:trHeight w:val="276"/>
        </w:trPr>
        <w:tc>
          <w:tcPr>
            <w:tcW w:w="3865" w:type="dxa"/>
            <w:vAlign w:val="bottom"/>
          </w:tcPr>
          <w:p w14:paraId="34F34679" w14:textId="3C59E891" w:rsidR="00981A70" w:rsidRPr="00D56C4D" w:rsidRDefault="00981A70" w:rsidP="00981A70">
            <w:pPr>
              <w:rPr>
                <w:rFonts w:cs="Arial"/>
                <w:szCs w:val="20"/>
              </w:rPr>
            </w:pPr>
            <w:r w:rsidRPr="00D56C4D">
              <w:rPr>
                <w:rFonts w:cs="Arial"/>
                <w:szCs w:val="20"/>
              </w:rPr>
              <w:t>GABAPENTIN 300 MG/6ML SOLUTION</w:t>
            </w:r>
          </w:p>
        </w:tc>
        <w:tc>
          <w:tcPr>
            <w:tcW w:w="3060" w:type="dxa"/>
            <w:vAlign w:val="bottom"/>
          </w:tcPr>
          <w:p w14:paraId="73E35C75" w14:textId="603BE282" w:rsidR="00981A70" w:rsidRPr="00D56C4D" w:rsidRDefault="00981A70" w:rsidP="00981A70">
            <w:pPr>
              <w:rPr>
                <w:rFonts w:cs="Arial"/>
                <w:szCs w:val="20"/>
              </w:rPr>
            </w:pPr>
            <w:r w:rsidRPr="00D56C4D">
              <w:rPr>
                <w:rFonts w:cs="Arial"/>
                <w:szCs w:val="20"/>
              </w:rPr>
              <w:t>GABAPENTIN</w:t>
            </w:r>
          </w:p>
        </w:tc>
        <w:tc>
          <w:tcPr>
            <w:tcW w:w="2425" w:type="dxa"/>
            <w:vAlign w:val="bottom"/>
          </w:tcPr>
          <w:p w14:paraId="745EDFCC" w14:textId="746D7B47" w:rsidR="00981A70" w:rsidRPr="00396A04" w:rsidRDefault="00981A70" w:rsidP="003D5AFB">
            <w:pPr>
              <w:jc w:val="center"/>
              <w:rPr>
                <w:rFonts w:cs="Arial"/>
              </w:rPr>
            </w:pPr>
            <w:r w:rsidRPr="00396A04">
              <w:rPr>
                <w:rFonts w:cs="Arial"/>
              </w:rPr>
              <w:t>48 mL</w:t>
            </w:r>
          </w:p>
        </w:tc>
      </w:tr>
      <w:tr w:rsidR="00981A70" w:rsidRPr="00C02553" w14:paraId="0111E640" w14:textId="77777777" w:rsidTr="00981A70">
        <w:trPr>
          <w:trHeight w:val="276"/>
        </w:trPr>
        <w:tc>
          <w:tcPr>
            <w:tcW w:w="3865" w:type="dxa"/>
            <w:vAlign w:val="bottom"/>
          </w:tcPr>
          <w:p w14:paraId="5EAB5D9D" w14:textId="26BAE730" w:rsidR="00981A70" w:rsidRPr="00D56C4D" w:rsidRDefault="00981A70" w:rsidP="00981A70">
            <w:pPr>
              <w:rPr>
                <w:rFonts w:cs="Arial"/>
                <w:szCs w:val="20"/>
              </w:rPr>
            </w:pPr>
            <w:r w:rsidRPr="00D56C4D">
              <w:rPr>
                <w:rFonts w:cs="Arial"/>
                <w:szCs w:val="20"/>
              </w:rPr>
              <w:t>GRALISE ER 300 MG TABLET</w:t>
            </w:r>
          </w:p>
        </w:tc>
        <w:tc>
          <w:tcPr>
            <w:tcW w:w="3060" w:type="dxa"/>
            <w:vAlign w:val="bottom"/>
          </w:tcPr>
          <w:p w14:paraId="6F332DB1" w14:textId="6B43F048" w:rsidR="00981A70" w:rsidRPr="00D56C4D" w:rsidRDefault="00981A70" w:rsidP="00981A70">
            <w:pPr>
              <w:rPr>
                <w:rFonts w:cs="Arial"/>
                <w:szCs w:val="20"/>
              </w:rPr>
            </w:pPr>
            <w:r w:rsidRPr="00D56C4D">
              <w:rPr>
                <w:rFonts w:cs="Arial"/>
                <w:szCs w:val="20"/>
              </w:rPr>
              <w:t>GABAPENTIN</w:t>
            </w:r>
          </w:p>
        </w:tc>
        <w:tc>
          <w:tcPr>
            <w:tcW w:w="2425" w:type="dxa"/>
            <w:vAlign w:val="bottom"/>
          </w:tcPr>
          <w:p w14:paraId="196CE174" w14:textId="2865E950" w:rsidR="00981A70" w:rsidRPr="00396A04" w:rsidRDefault="00981A70" w:rsidP="003D5AFB">
            <w:pPr>
              <w:jc w:val="center"/>
              <w:rPr>
                <w:rFonts w:cs="Arial"/>
              </w:rPr>
            </w:pPr>
            <w:r w:rsidRPr="00396A04">
              <w:rPr>
                <w:rFonts w:cs="Arial"/>
                <w:szCs w:val="20"/>
              </w:rPr>
              <w:t>8 tablets</w:t>
            </w:r>
          </w:p>
        </w:tc>
      </w:tr>
      <w:tr w:rsidR="00981A70" w:rsidRPr="00C02553" w14:paraId="473F091E" w14:textId="77777777" w:rsidTr="00981A70">
        <w:trPr>
          <w:trHeight w:val="276"/>
        </w:trPr>
        <w:tc>
          <w:tcPr>
            <w:tcW w:w="3865" w:type="dxa"/>
            <w:vAlign w:val="bottom"/>
          </w:tcPr>
          <w:p w14:paraId="1A877B8A" w14:textId="584D9F4F" w:rsidR="00981A70" w:rsidRPr="00D56C4D" w:rsidRDefault="00981A70" w:rsidP="00981A70">
            <w:pPr>
              <w:rPr>
                <w:rFonts w:cs="Arial"/>
                <w:szCs w:val="20"/>
              </w:rPr>
            </w:pPr>
            <w:r w:rsidRPr="006B7138">
              <w:rPr>
                <w:rFonts w:cs="Arial"/>
                <w:szCs w:val="20"/>
              </w:rPr>
              <w:t>GRALISE ER 450 MG TABLET</w:t>
            </w:r>
          </w:p>
        </w:tc>
        <w:tc>
          <w:tcPr>
            <w:tcW w:w="3060" w:type="dxa"/>
            <w:vAlign w:val="bottom"/>
          </w:tcPr>
          <w:p w14:paraId="5A9B2297" w14:textId="34E58A9E" w:rsidR="00981A70" w:rsidRPr="00D56C4D" w:rsidRDefault="00981A70" w:rsidP="00981A70">
            <w:pPr>
              <w:rPr>
                <w:rFonts w:cs="Arial"/>
                <w:szCs w:val="20"/>
              </w:rPr>
            </w:pPr>
            <w:r w:rsidRPr="006B7138">
              <w:rPr>
                <w:rFonts w:cs="Arial"/>
                <w:szCs w:val="20"/>
              </w:rPr>
              <w:t>GABAPENTIN</w:t>
            </w:r>
          </w:p>
        </w:tc>
        <w:tc>
          <w:tcPr>
            <w:tcW w:w="2425" w:type="dxa"/>
            <w:vAlign w:val="bottom"/>
          </w:tcPr>
          <w:p w14:paraId="0C8AE34F" w14:textId="37E39DB5" w:rsidR="00981A70" w:rsidRPr="00396A04" w:rsidRDefault="00981A70" w:rsidP="003D5AFB">
            <w:pPr>
              <w:jc w:val="center"/>
              <w:rPr>
                <w:rFonts w:cs="Arial"/>
                <w:szCs w:val="20"/>
              </w:rPr>
            </w:pPr>
            <w:r w:rsidRPr="006B7138">
              <w:rPr>
                <w:rFonts w:cs="Arial"/>
                <w:szCs w:val="20"/>
              </w:rPr>
              <w:t>4 tablets</w:t>
            </w:r>
          </w:p>
        </w:tc>
      </w:tr>
      <w:tr w:rsidR="00981A70" w:rsidRPr="00C02553" w14:paraId="7C9357F1" w14:textId="77777777" w:rsidTr="00981A70">
        <w:trPr>
          <w:trHeight w:val="276"/>
        </w:trPr>
        <w:tc>
          <w:tcPr>
            <w:tcW w:w="3865" w:type="dxa"/>
            <w:vAlign w:val="bottom"/>
          </w:tcPr>
          <w:p w14:paraId="0375C2F3" w14:textId="3BA1B17C" w:rsidR="00981A70" w:rsidRPr="006B7138" w:rsidRDefault="00981A70" w:rsidP="00981A70">
            <w:pPr>
              <w:rPr>
                <w:rFonts w:cs="Arial"/>
                <w:szCs w:val="20"/>
              </w:rPr>
            </w:pPr>
            <w:r w:rsidRPr="006B7138">
              <w:rPr>
                <w:rFonts w:cs="Arial"/>
                <w:szCs w:val="20"/>
              </w:rPr>
              <w:t xml:space="preserve">GRALISE ER 600 MG TABLET  </w:t>
            </w:r>
          </w:p>
        </w:tc>
        <w:tc>
          <w:tcPr>
            <w:tcW w:w="3060" w:type="dxa"/>
            <w:vAlign w:val="bottom"/>
          </w:tcPr>
          <w:p w14:paraId="57C4A04B" w14:textId="4522C27B" w:rsidR="00981A70" w:rsidRPr="006B7138" w:rsidRDefault="00981A70" w:rsidP="00981A70">
            <w:pPr>
              <w:rPr>
                <w:rFonts w:cs="Arial"/>
                <w:szCs w:val="20"/>
              </w:rPr>
            </w:pPr>
            <w:r w:rsidRPr="006B7138">
              <w:rPr>
                <w:rFonts w:cs="Arial"/>
                <w:szCs w:val="20"/>
              </w:rPr>
              <w:t>GABAPENTIN</w:t>
            </w:r>
          </w:p>
        </w:tc>
        <w:tc>
          <w:tcPr>
            <w:tcW w:w="2425" w:type="dxa"/>
            <w:vAlign w:val="bottom"/>
          </w:tcPr>
          <w:p w14:paraId="2D464A0B" w14:textId="618BB9C1" w:rsidR="00981A70" w:rsidRPr="006B7138" w:rsidRDefault="00981A70" w:rsidP="003D5AFB">
            <w:pPr>
              <w:jc w:val="center"/>
              <w:rPr>
                <w:rFonts w:cs="Arial"/>
                <w:szCs w:val="20"/>
              </w:rPr>
            </w:pPr>
            <w:r w:rsidRPr="006B7138">
              <w:rPr>
                <w:rFonts w:cs="Arial"/>
                <w:szCs w:val="20"/>
              </w:rPr>
              <w:t>4 tablets</w:t>
            </w:r>
          </w:p>
        </w:tc>
      </w:tr>
      <w:tr w:rsidR="00981A70" w:rsidRPr="00C02553" w14:paraId="6990C4AC" w14:textId="77777777" w:rsidTr="00981A70">
        <w:trPr>
          <w:trHeight w:val="276"/>
        </w:trPr>
        <w:tc>
          <w:tcPr>
            <w:tcW w:w="3865" w:type="dxa"/>
            <w:vAlign w:val="bottom"/>
          </w:tcPr>
          <w:p w14:paraId="1AEF9A00" w14:textId="71D5DB97" w:rsidR="00981A70" w:rsidRPr="006B7138" w:rsidRDefault="00981A70" w:rsidP="00981A70">
            <w:pPr>
              <w:rPr>
                <w:rFonts w:cs="Arial"/>
                <w:szCs w:val="20"/>
              </w:rPr>
            </w:pPr>
            <w:r w:rsidRPr="006B7138">
              <w:rPr>
                <w:rFonts w:cs="Arial"/>
                <w:szCs w:val="20"/>
              </w:rPr>
              <w:t>GRALISE ER 750 MG TABLET</w:t>
            </w:r>
          </w:p>
        </w:tc>
        <w:tc>
          <w:tcPr>
            <w:tcW w:w="3060" w:type="dxa"/>
            <w:vAlign w:val="bottom"/>
          </w:tcPr>
          <w:p w14:paraId="74F3BEE0" w14:textId="34561948" w:rsidR="00981A70" w:rsidRPr="006B7138" w:rsidRDefault="00981A70" w:rsidP="00981A70">
            <w:pPr>
              <w:rPr>
                <w:rFonts w:cs="Arial"/>
                <w:szCs w:val="20"/>
              </w:rPr>
            </w:pPr>
            <w:r w:rsidRPr="006B7138">
              <w:rPr>
                <w:rFonts w:cs="Arial"/>
                <w:szCs w:val="20"/>
              </w:rPr>
              <w:t>GABAPENTIN</w:t>
            </w:r>
          </w:p>
        </w:tc>
        <w:tc>
          <w:tcPr>
            <w:tcW w:w="2425" w:type="dxa"/>
            <w:vAlign w:val="bottom"/>
          </w:tcPr>
          <w:p w14:paraId="45EE7F27" w14:textId="3226036B" w:rsidR="00981A70" w:rsidRPr="006B7138" w:rsidRDefault="00981A70" w:rsidP="003D5AFB">
            <w:pPr>
              <w:jc w:val="center"/>
              <w:rPr>
                <w:rFonts w:cs="Arial"/>
                <w:szCs w:val="20"/>
              </w:rPr>
            </w:pPr>
            <w:r w:rsidRPr="006B7138">
              <w:rPr>
                <w:rFonts w:cs="Arial"/>
                <w:szCs w:val="20"/>
              </w:rPr>
              <w:t>2 tablets</w:t>
            </w:r>
          </w:p>
        </w:tc>
      </w:tr>
      <w:tr w:rsidR="00981A70" w:rsidRPr="00C02553" w14:paraId="73C1703D" w14:textId="77777777" w:rsidTr="00981A70">
        <w:trPr>
          <w:trHeight w:val="276"/>
        </w:trPr>
        <w:tc>
          <w:tcPr>
            <w:tcW w:w="3865" w:type="dxa"/>
            <w:vAlign w:val="bottom"/>
          </w:tcPr>
          <w:p w14:paraId="22D4DAB4" w14:textId="5EFBC946" w:rsidR="00981A70" w:rsidRPr="006B7138" w:rsidRDefault="00981A70" w:rsidP="00981A70">
            <w:pPr>
              <w:rPr>
                <w:rFonts w:cs="Arial"/>
                <w:szCs w:val="20"/>
              </w:rPr>
            </w:pPr>
            <w:r w:rsidRPr="006B7138">
              <w:rPr>
                <w:rFonts w:cs="Arial"/>
                <w:szCs w:val="20"/>
              </w:rPr>
              <w:t>GRALISE ER 900 MG TABLET</w:t>
            </w:r>
          </w:p>
        </w:tc>
        <w:tc>
          <w:tcPr>
            <w:tcW w:w="3060" w:type="dxa"/>
            <w:vAlign w:val="bottom"/>
          </w:tcPr>
          <w:p w14:paraId="5AD6FDA9" w14:textId="7C6558AB" w:rsidR="00981A70" w:rsidRPr="006B7138" w:rsidRDefault="00981A70" w:rsidP="00981A70">
            <w:pPr>
              <w:rPr>
                <w:rFonts w:cs="Arial"/>
                <w:szCs w:val="20"/>
              </w:rPr>
            </w:pPr>
            <w:r w:rsidRPr="006B7138">
              <w:rPr>
                <w:rFonts w:cs="Arial"/>
                <w:szCs w:val="20"/>
              </w:rPr>
              <w:t>GABAPENTIN</w:t>
            </w:r>
          </w:p>
        </w:tc>
        <w:tc>
          <w:tcPr>
            <w:tcW w:w="2425" w:type="dxa"/>
            <w:vAlign w:val="bottom"/>
          </w:tcPr>
          <w:p w14:paraId="04CE272C" w14:textId="57079AF2" w:rsidR="00981A70" w:rsidRPr="006B7138" w:rsidRDefault="00981A70" w:rsidP="003D5AFB">
            <w:pPr>
              <w:jc w:val="center"/>
              <w:rPr>
                <w:rFonts w:cs="Arial"/>
                <w:szCs w:val="20"/>
              </w:rPr>
            </w:pPr>
            <w:r w:rsidRPr="006B7138">
              <w:rPr>
                <w:rFonts w:cs="Arial"/>
                <w:szCs w:val="20"/>
              </w:rPr>
              <w:t>2 tablets</w:t>
            </w:r>
          </w:p>
        </w:tc>
      </w:tr>
      <w:tr w:rsidR="00981A70" w:rsidRPr="00C02553" w14:paraId="035F6DD6" w14:textId="77777777" w:rsidTr="00981A70">
        <w:trPr>
          <w:trHeight w:val="276"/>
        </w:trPr>
        <w:tc>
          <w:tcPr>
            <w:tcW w:w="3865" w:type="dxa"/>
            <w:vAlign w:val="bottom"/>
          </w:tcPr>
          <w:p w14:paraId="264721C8" w14:textId="7F055D64" w:rsidR="00981A70" w:rsidRPr="006B7138" w:rsidRDefault="00981A70" w:rsidP="00981A70">
            <w:pPr>
              <w:rPr>
                <w:rFonts w:cs="Arial"/>
                <w:szCs w:val="20"/>
              </w:rPr>
            </w:pPr>
            <w:r w:rsidRPr="00D56C4D">
              <w:rPr>
                <w:rFonts w:cs="Arial"/>
                <w:szCs w:val="20"/>
              </w:rPr>
              <w:t>HORIZANT ER 300 MG TABLET</w:t>
            </w:r>
          </w:p>
        </w:tc>
        <w:tc>
          <w:tcPr>
            <w:tcW w:w="3060" w:type="dxa"/>
            <w:vAlign w:val="bottom"/>
          </w:tcPr>
          <w:p w14:paraId="11E7C250" w14:textId="0BDCD46F" w:rsidR="00981A70" w:rsidRPr="006B7138" w:rsidRDefault="00981A70" w:rsidP="00981A70">
            <w:pPr>
              <w:rPr>
                <w:rFonts w:cs="Arial"/>
                <w:szCs w:val="20"/>
              </w:rPr>
            </w:pPr>
            <w:r w:rsidRPr="00D56C4D">
              <w:rPr>
                <w:rFonts w:cs="Arial"/>
                <w:szCs w:val="20"/>
              </w:rPr>
              <w:t>GABAPENTIN ENACARBIL</w:t>
            </w:r>
          </w:p>
        </w:tc>
        <w:tc>
          <w:tcPr>
            <w:tcW w:w="2425" w:type="dxa"/>
            <w:vAlign w:val="bottom"/>
          </w:tcPr>
          <w:p w14:paraId="03162393" w14:textId="31CE6E7B" w:rsidR="00981A70" w:rsidRPr="006B7138" w:rsidRDefault="00981A70" w:rsidP="003D5AFB">
            <w:pPr>
              <w:jc w:val="center"/>
              <w:rPr>
                <w:rFonts w:cs="Arial"/>
                <w:szCs w:val="20"/>
              </w:rPr>
            </w:pPr>
            <w:r w:rsidRPr="00396A04">
              <w:rPr>
                <w:rFonts w:cs="Arial"/>
                <w:szCs w:val="20"/>
              </w:rPr>
              <w:t>8 tablets</w:t>
            </w:r>
          </w:p>
        </w:tc>
      </w:tr>
      <w:tr w:rsidR="00981A70" w:rsidRPr="00C02553" w14:paraId="45FA3D00" w14:textId="77777777" w:rsidTr="00981A70">
        <w:trPr>
          <w:trHeight w:val="276"/>
        </w:trPr>
        <w:tc>
          <w:tcPr>
            <w:tcW w:w="3865" w:type="dxa"/>
            <w:vAlign w:val="bottom"/>
          </w:tcPr>
          <w:p w14:paraId="4D754BE7" w14:textId="2C02F68D" w:rsidR="00981A70" w:rsidRPr="00D56C4D" w:rsidRDefault="00981A70" w:rsidP="00981A70">
            <w:pPr>
              <w:rPr>
                <w:rFonts w:cs="Arial"/>
                <w:szCs w:val="20"/>
              </w:rPr>
            </w:pPr>
            <w:r w:rsidRPr="00D56C4D">
              <w:rPr>
                <w:rFonts w:cs="Arial"/>
                <w:szCs w:val="20"/>
              </w:rPr>
              <w:t xml:space="preserve">HORIZANT ER 600 MG TABLET     </w:t>
            </w:r>
          </w:p>
        </w:tc>
        <w:tc>
          <w:tcPr>
            <w:tcW w:w="3060" w:type="dxa"/>
            <w:vAlign w:val="bottom"/>
          </w:tcPr>
          <w:p w14:paraId="27EDC5F8" w14:textId="08B958FE" w:rsidR="00981A70" w:rsidRPr="00D56C4D" w:rsidRDefault="00981A70" w:rsidP="00981A70">
            <w:pPr>
              <w:rPr>
                <w:rFonts w:cs="Arial"/>
                <w:szCs w:val="20"/>
              </w:rPr>
            </w:pPr>
            <w:r w:rsidRPr="00D56C4D">
              <w:rPr>
                <w:rFonts w:cs="Arial"/>
                <w:szCs w:val="20"/>
              </w:rPr>
              <w:t>GABAPENTIN ENACARBIL</w:t>
            </w:r>
          </w:p>
        </w:tc>
        <w:tc>
          <w:tcPr>
            <w:tcW w:w="2425" w:type="dxa"/>
            <w:vAlign w:val="bottom"/>
          </w:tcPr>
          <w:p w14:paraId="67D087E5" w14:textId="4997AC9D" w:rsidR="00981A70" w:rsidRPr="00396A04" w:rsidRDefault="00981A70" w:rsidP="003D5AFB">
            <w:pPr>
              <w:jc w:val="center"/>
              <w:rPr>
                <w:rFonts w:cs="Arial"/>
                <w:szCs w:val="20"/>
              </w:rPr>
            </w:pPr>
            <w:r w:rsidRPr="00396A04">
              <w:rPr>
                <w:rFonts w:cs="Arial"/>
                <w:szCs w:val="20"/>
              </w:rPr>
              <w:t>4 tablets</w:t>
            </w:r>
          </w:p>
        </w:tc>
      </w:tr>
      <w:tr w:rsidR="00981A70" w:rsidRPr="00C02553" w14:paraId="10D36BFD" w14:textId="77777777" w:rsidTr="00981A70">
        <w:trPr>
          <w:trHeight w:val="276"/>
        </w:trPr>
        <w:tc>
          <w:tcPr>
            <w:tcW w:w="3865" w:type="dxa"/>
            <w:vAlign w:val="bottom"/>
          </w:tcPr>
          <w:p w14:paraId="5ED4E60F" w14:textId="19E28408" w:rsidR="00981A70" w:rsidRPr="00D56C4D" w:rsidRDefault="00981A70" w:rsidP="00981A70">
            <w:pPr>
              <w:rPr>
                <w:rFonts w:cs="Arial"/>
                <w:szCs w:val="20"/>
              </w:rPr>
            </w:pPr>
            <w:r w:rsidRPr="006B7138">
              <w:rPr>
                <w:rFonts w:cs="Arial"/>
                <w:szCs w:val="20"/>
              </w:rPr>
              <w:t xml:space="preserve">LIDOCAINE 4% PATCH OTC </w:t>
            </w:r>
          </w:p>
        </w:tc>
        <w:tc>
          <w:tcPr>
            <w:tcW w:w="3060" w:type="dxa"/>
            <w:vAlign w:val="bottom"/>
          </w:tcPr>
          <w:p w14:paraId="288ABA79" w14:textId="21EFE673" w:rsidR="00981A70" w:rsidRPr="00D56C4D" w:rsidRDefault="00981A70" w:rsidP="00981A70">
            <w:pPr>
              <w:rPr>
                <w:rFonts w:cs="Arial"/>
                <w:szCs w:val="20"/>
              </w:rPr>
            </w:pPr>
            <w:r w:rsidRPr="006B7138">
              <w:rPr>
                <w:rFonts w:cs="Arial"/>
                <w:szCs w:val="20"/>
              </w:rPr>
              <w:t>LIDOCAINE</w:t>
            </w:r>
          </w:p>
        </w:tc>
        <w:tc>
          <w:tcPr>
            <w:tcW w:w="2425" w:type="dxa"/>
            <w:vAlign w:val="bottom"/>
          </w:tcPr>
          <w:p w14:paraId="6D207272" w14:textId="775DF177" w:rsidR="00981A70" w:rsidRPr="00396A04" w:rsidRDefault="00981A70" w:rsidP="003D5AFB">
            <w:pPr>
              <w:jc w:val="center"/>
              <w:rPr>
                <w:rFonts w:cs="Arial"/>
                <w:szCs w:val="20"/>
              </w:rPr>
            </w:pPr>
            <w:r w:rsidRPr="006B7138">
              <w:rPr>
                <w:rFonts w:cs="Arial"/>
                <w:szCs w:val="20"/>
              </w:rPr>
              <w:t>3 patches</w:t>
            </w:r>
          </w:p>
        </w:tc>
      </w:tr>
      <w:tr w:rsidR="00981A70" w:rsidRPr="00C02553" w14:paraId="42A45182" w14:textId="77777777" w:rsidTr="00981A70">
        <w:trPr>
          <w:trHeight w:val="276"/>
        </w:trPr>
        <w:tc>
          <w:tcPr>
            <w:tcW w:w="3865" w:type="dxa"/>
            <w:vAlign w:val="bottom"/>
          </w:tcPr>
          <w:p w14:paraId="45B52DAB" w14:textId="34D7BF12" w:rsidR="00981A70" w:rsidRPr="006B7138" w:rsidRDefault="00981A70" w:rsidP="00981A70">
            <w:pPr>
              <w:rPr>
                <w:rFonts w:cs="Arial"/>
                <w:szCs w:val="20"/>
              </w:rPr>
            </w:pPr>
            <w:r w:rsidRPr="00D56C4D">
              <w:rPr>
                <w:rFonts w:cs="Arial"/>
                <w:szCs w:val="20"/>
              </w:rPr>
              <w:t xml:space="preserve">LIDODERM 5% PATCH       </w:t>
            </w:r>
          </w:p>
        </w:tc>
        <w:tc>
          <w:tcPr>
            <w:tcW w:w="3060" w:type="dxa"/>
            <w:vAlign w:val="bottom"/>
          </w:tcPr>
          <w:p w14:paraId="52A5D4AF" w14:textId="53C9DD05" w:rsidR="00981A70" w:rsidRPr="006B7138" w:rsidRDefault="00981A70" w:rsidP="00981A70">
            <w:pPr>
              <w:rPr>
                <w:rFonts w:cs="Arial"/>
                <w:szCs w:val="20"/>
              </w:rPr>
            </w:pPr>
            <w:r w:rsidRPr="00D56C4D">
              <w:rPr>
                <w:rFonts w:cs="Arial"/>
                <w:szCs w:val="20"/>
              </w:rPr>
              <w:t>LIDOCAINE</w:t>
            </w:r>
          </w:p>
        </w:tc>
        <w:tc>
          <w:tcPr>
            <w:tcW w:w="2425" w:type="dxa"/>
            <w:vAlign w:val="bottom"/>
          </w:tcPr>
          <w:p w14:paraId="3EDD1611" w14:textId="0230ED99" w:rsidR="00981A70" w:rsidRPr="006B7138" w:rsidRDefault="00981A70" w:rsidP="003D5AFB">
            <w:pPr>
              <w:jc w:val="center"/>
              <w:rPr>
                <w:rFonts w:cs="Arial"/>
                <w:szCs w:val="20"/>
              </w:rPr>
            </w:pPr>
            <w:r w:rsidRPr="00D56C4D">
              <w:rPr>
                <w:rFonts w:cs="Arial"/>
                <w:szCs w:val="20"/>
              </w:rPr>
              <w:t xml:space="preserve">3 </w:t>
            </w:r>
            <w:r>
              <w:rPr>
                <w:rFonts w:cs="Arial"/>
                <w:szCs w:val="20"/>
              </w:rPr>
              <w:t>patches</w:t>
            </w:r>
          </w:p>
        </w:tc>
      </w:tr>
      <w:tr w:rsidR="00981A70" w:rsidRPr="00C02553" w14:paraId="1F03D272" w14:textId="77777777" w:rsidTr="00981A70">
        <w:trPr>
          <w:trHeight w:val="276"/>
        </w:trPr>
        <w:tc>
          <w:tcPr>
            <w:tcW w:w="3865" w:type="dxa"/>
            <w:vAlign w:val="bottom"/>
          </w:tcPr>
          <w:p w14:paraId="499C3E19" w14:textId="70AD3235" w:rsidR="00981A70" w:rsidRPr="00D56C4D" w:rsidRDefault="00981A70" w:rsidP="00981A70">
            <w:pPr>
              <w:rPr>
                <w:rFonts w:cs="Arial"/>
                <w:szCs w:val="20"/>
              </w:rPr>
            </w:pPr>
            <w:r w:rsidRPr="00D56C4D">
              <w:rPr>
                <w:rFonts w:cs="Arial"/>
                <w:szCs w:val="20"/>
              </w:rPr>
              <w:t xml:space="preserve">NEURONTIN 100 MG CAPSULE    </w:t>
            </w:r>
          </w:p>
        </w:tc>
        <w:tc>
          <w:tcPr>
            <w:tcW w:w="3060" w:type="dxa"/>
            <w:vAlign w:val="bottom"/>
          </w:tcPr>
          <w:p w14:paraId="0A072F2F" w14:textId="3F6C1071" w:rsidR="00981A70" w:rsidRPr="00D56C4D" w:rsidRDefault="00981A70" w:rsidP="00981A70">
            <w:pPr>
              <w:rPr>
                <w:rFonts w:cs="Arial"/>
                <w:szCs w:val="20"/>
              </w:rPr>
            </w:pPr>
            <w:r w:rsidRPr="00D56C4D">
              <w:rPr>
                <w:rFonts w:cs="Arial"/>
                <w:szCs w:val="20"/>
              </w:rPr>
              <w:t>GABAPENTIN</w:t>
            </w:r>
          </w:p>
        </w:tc>
        <w:tc>
          <w:tcPr>
            <w:tcW w:w="2425" w:type="dxa"/>
            <w:vAlign w:val="bottom"/>
          </w:tcPr>
          <w:p w14:paraId="50A9D958" w14:textId="2FBF9C30" w:rsidR="00981A70" w:rsidRPr="00D56C4D" w:rsidRDefault="00981A70" w:rsidP="003D5AFB">
            <w:pPr>
              <w:jc w:val="center"/>
              <w:rPr>
                <w:rFonts w:cs="Arial"/>
                <w:szCs w:val="20"/>
              </w:rPr>
            </w:pPr>
            <w:r w:rsidRPr="00396A04">
              <w:rPr>
                <w:rFonts w:cs="Arial"/>
                <w:szCs w:val="20"/>
              </w:rPr>
              <w:t>24 capsules</w:t>
            </w:r>
          </w:p>
        </w:tc>
      </w:tr>
      <w:tr w:rsidR="00981A70" w:rsidRPr="00C02553" w14:paraId="4187CCBA" w14:textId="77777777" w:rsidTr="00981A70">
        <w:trPr>
          <w:trHeight w:val="276"/>
        </w:trPr>
        <w:tc>
          <w:tcPr>
            <w:tcW w:w="3865" w:type="dxa"/>
            <w:vAlign w:val="bottom"/>
          </w:tcPr>
          <w:p w14:paraId="4468E113" w14:textId="11C5CAEC" w:rsidR="00981A70" w:rsidRPr="00D56C4D" w:rsidRDefault="00981A70" w:rsidP="00981A70">
            <w:pPr>
              <w:rPr>
                <w:rFonts w:cs="Arial"/>
                <w:szCs w:val="20"/>
              </w:rPr>
            </w:pPr>
            <w:r w:rsidRPr="00D56C4D">
              <w:rPr>
                <w:rFonts w:cs="Arial"/>
                <w:szCs w:val="20"/>
              </w:rPr>
              <w:t xml:space="preserve">NEURONTIN 250 MG/5 ML SOLN    </w:t>
            </w:r>
          </w:p>
        </w:tc>
        <w:tc>
          <w:tcPr>
            <w:tcW w:w="3060" w:type="dxa"/>
            <w:vAlign w:val="bottom"/>
          </w:tcPr>
          <w:p w14:paraId="068F6FF8" w14:textId="6C0680EB" w:rsidR="00981A70" w:rsidRPr="00D56C4D" w:rsidRDefault="00981A70" w:rsidP="00981A70">
            <w:pPr>
              <w:rPr>
                <w:rFonts w:cs="Arial"/>
                <w:szCs w:val="20"/>
              </w:rPr>
            </w:pPr>
            <w:r w:rsidRPr="00D56C4D">
              <w:rPr>
                <w:rFonts w:cs="Arial"/>
                <w:szCs w:val="20"/>
              </w:rPr>
              <w:t>GABAPENTIN</w:t>
            </w:r>
          </w:p>
        </w:tc>
        <w:tc>
          <w:tcPr>
            <w:tcW w:w="2425" w:type="dxa"/>
            <w:vAlign w:val="bottom"/>
          </w:tcPr>
          <w:p w14:paraId="47C73D4F" w14:textId="508CB89F" w:rsidR="00981A70" w:rsidRPr="00396A04" w:rsidRDefault="00981A70" w:rsidP="003D5AFB">
            <w:pPr>
              <w:jc w:val="center"/>
              <w:rPr>
                <w:rFonts w:cs="Arial"/>
                <w:szCs w:val="20"/>
              </w:rPr>
            </w:pPr>
            <w:r w:rsidRPr="00396A04">
              <w:rPr>
                <w:rFonts w:cs="Arial"/>
                <w:szCs w:val="20"/>
              </w:rPr>
              <w:t>48 mL</w:t>
            </w:r>
          </w:p>
        </w:tc>
      </w:tr>
      <w:tr w:rsidR="00981A70" w:rsidRPr="00C02553" w14:paraId="4C91CE8B" w14:textId="77777777" w:rsidTr="00981A70">
        <w:trPr>
          <w:trHeight w:val="276"/>
        </w:trPr>
        <w:tc>
          <w:tcPr>
            <w:tcW w:w="3865" w:type="dxa"/>
            <w:vAlign w:val="bottom"/>
          </w:tcPr>
          <w:p w14:paraId="650A6A14" w14:textId="10AD7DF8" w:rsidR="00981A70" w:rsidRPr="00D56C4D" w:rsidRDefault="00981A70" w:rsidP="00981A70">
            <w:pPr>
              <w:rPr>
                <w:rFonts w:cs="Arial"/>
                <w:szCs w:val="20"/>
              </w:rPr>
            </w:pPr>
            <w:r w:rsidRPr="00D56C4D">
              <w:rPr>
                <w:rFonts w:cs="Arial"/>
                <w:szCs w:val="20"/>
              </w:rPr>
              <w:t xml:space="preserve">NEURONTIN 300 MG CAPSULE      </w:t>
            </w:r>
          </w:p>
        </w:tc>
        <w:tc>
          <w:tcPr>
            <w:tcW w:w="3060" w:type="dxa"/>
            <w:vAlign w:val="bottom"/>
          </w:tcPr>
          <w:p w14:paraId="5B945C27" w14:textId="6AC653E8" w:rsidR="00981A70" w:rsidRPr="00D56C4D" w:rsidRDefault="00981A70" w:rsidP="00981A70">
            <w:pPr>
              <w:rPr>
                <w:rFonts w:cs="Arial"/>
                <w:szCs w:val="20"/>
              </w:rPr>
            </w:pPr>
            <w:r w:rsidRPr="00D56C4D">
              <w:rPr>
                <w:rFonts w:cs="Arial"/>
                <w:szCs w:val="20"/>
              </w:rPr>
              <w:t>GABAPENTIN</w:t>
            </w:r>
          </w:p>
        </w:tc>
        <w:tc>
          <w:tcPr>
            <w:tcW w:w="2425" w:type="dxa"/>
            <w:vAlign w:val="bottom"/>
          </w:tcPr>
          <w:p w14:paraId="65A02AAB" w14:textId="558DC9B1" w:rsidR="00981A70" w:rsidRPr="00396A04" w:rsidRDefault="00981A70" w:rsidP="003D5AFB">
            <w:pPr>
              <w:jc w:val="center"/>
              <w:rPr>
                <w:rFonts w:cs="Arial"/>
                <w:szCs w:val="20"/>
              </w:rPr>
            </w:pPr>
            <w:r w:rsidRPr="00396A04">
              <w:rPr>
                <w:rFonts w:cs="Arial"/>
                <w:szCs w:val="20"/>
              </w:rPr>
              <w:t>8 capsules</w:t>
            </w:r>
          </w:p>
        </w:tc>
      </w:tr>
      <w:tr w:rsidR="00981A70" w:rsidRPr="00C02553" w14:paraId="07A21E43" w14:textId="77777777" w:rsidTr="00981A70">
        <w:trPr>
          <w:trHeight w:val="276"/>
        </w:trPr>
        <w:tc>
          <w:tcPr>
            <w:tcW w:w="3865" w:type="dxa"/>
            <w:vAlign w:val="bottom"/>
          </w:tcPr>
          <w:p w14:paraId="33150784" w14:textId="716FA696" w:rsidR="00981A70" w:rsidRPr="00D56C4D" w:rsidRDefault="00981A70" w:rsidP="00981A70">
            <w:pPr>
              <w:rPr>
                <w:rFonts w:cs="Arial"/>
                <w:szCs w:val="20"/>
              </w:rPr>
            </w:pPr>
            <w:r w:rsidRPr="00D56C4D">
              <w:rPr>
                <w:rFonts w:cs="Arial"/>
                <w:szCs w:val="20"/>
              </w:rPr>
              <w:t xml:space="preserve">NEURONTIN 400 MG CAPSULE      </w:t>
            </w:r>
          </w:p>
        </w:tc>
        <w:tc>
          <w:tcPr>
            <w:tcW w:w="3060" w:type="dxa"/>
            <w:vAlign w:val="bottom"/>
          </w:tcPr>
          <w:p w14:paraId="48CE27FF" w14:textId="6356B5D0" w:rsidR="00981A70" w:rsidRPr="00D56C4D" w:rsidRDefault="00981A70" w:rsidP="00981A70">
            <w:pPr>
              <w:rPr>
                <w:rFonts w:cs="Arial"/>
                <w:szCs w:val="20"/>
              </w:rPr>
            </w:pPr>
            <w:r w:rsidRPr="00D56C4D">
              <w:rPr>
                <w:rFonts w:cs="Arial"/>
                <w:szCs w:val="20"/>
              </w:rPr>
              <w:t>GABAPENTIN</w:t>
            </w:r>
          </w:p>
        </w:tc>
        <w:tc>
          <w:tcPr>
            <w:tcW w:w="2425" w:type="dxa"/>
            <w:vAlign w:val="bottom"/>
          </w:tcPr>
          <w:p w14:paraId="27E141B2" w14:textId="1089C701" w:rsidR="00981A70" w:rsidRPr="00396A04" w:rsidRDefault="00981A70" w:rsidP="003D5AFB">
            <w:pPr>
              <w:jc w:val="center"/>
              <w:rPr>
                <w:rFonts w:cs="Arial"/>
                <w:szCs w:val="20"/>
              </w:rPr>
            </w:pPr>
            <w:r w:rsidRPr="00396A04">
              <w:rPr>
                <w:rFonts w:cs="Arial"/>
                <w:szCs w:val="20"/>
              </w:rPr>
              <w:t>6 capsules</w:t>
            </w:r>
          </w:p>
        </w:tc>
      </w:tr>
      <w:tr w:rsidR="00981A70" w:rsidRPr="00C02553" w14:paraId="447A63FB" w14:textId="77777777" w:rsidTr="00981A70">
        <w:trPr>
          <w:trHeight w:val="276"/>
        </w:trPr>
        <w:tc>
          <w:tcPr>
            <w:tcW w:w="3865" w:type="dxa"/>
            <w:vAlign w:val="bottom"/>
          </w:tcPr>
          <w:p w14:paraId="6D0974BD" w14:textId="265A755E" w:rsidR="00981A70" w:rsidRPr="00D56C4D" w:rsidRDefault="00981A70" w:rsidP="00981A70">
            <w:pPr>
              <w:rPr>
                <w:rFonts w:cs="Arial"/>
                <w:szCs w:val="20"/>
              </w:rPr>
            </w:pPr>
            <w:r w:rsidRPr="00D56C4D">
              <w:rPr>
                <w:rFonts w:cs="Arial"/>
                <w:szCs w:val="20"/>
              </w:rPr>
              <w:t>NEURONTIN 600 MG TABLET</w:t>
            </w:r>
          </w:p>
        </w:tc>
        <w:tc>
          <w:tcPr>
            <w:tcW w:w="3060" w:type="dxa"/>
            <w:vAlign w:val="bottom"/>
          </w:tcPr>
          <w:p w14:paraId="1ED05D9D" w14:textId="7755612D" w:rsidR="00981A70" w:rsidRPr="00D56C4D" w:rsidRDefault="00981A70" w:rsidP="00981A70">
            <w:pPr>
              <w:rPr>
                <w:rFonts w:cs="Arial"/>
                <w:szCs w:val="20"/>
              </w:rPr>
            </w:pPr>
            <w:r w:rsidRPr="00D56C4D">
              <w:rPr>
                <w:rFonts w:cs="Arial"/>
                <w:szCs w:val="20"/>
              </w:rPr>
              <w:t>GABAPENTIN</w:t>
            </w:r>
          </w:p>
        </w:tc>
        <w:tc>
          <w:tcPr>
            <w:tcW w:w="2425" w:type="dxa"/>
            <w:vAlign w:val="bottom"/>
          </w:tcPr>
          <w:p w14:paraId="3AA419B1" w14:textId="217DE6DF" w:rsidR="00981A70" w:rsidRPr="00396A04" w:rsidRDefault="00981A70" w:rsidP="003D5AFB">
            <w:pPr>
              <w:jc w:val="center"/>
              <w:rPr>
                <w:rFonts w:cs="Arial"/>
                <w:szCs w:val="20"/>
              </w:rPr>
            </w:pPr>
            <w:r w:rsidRPr="00396A04">
              <w:rPr>
                <w:rFonts w:cs="Arial"/>
                <w:szCs w:val="20"/>
              </w:rPr>
              <w:t>4 tablets</w:t>
            </w:r>
          </w:p>
        </w:tc>
      </w:tr>
      <w:tr w:rsidR="00981A70" w:rsidRPr="00C02553" w14:paraId="70D93308" w14:textId="77777777" w:rsidTr="00981A70">
        <w:trPr>
          <w:trHeight w:val="276"/>
        </w:trPr>
        <w:tc>
          <w:tcPr>
            <w:tcW w:w="3865" w:type="dxa"/>
            <w:vAlign w:val="bottom"/>
          </w:tcPr>
          <w:p w14:paraId="766E45E9" w14:textId="5787AC78" w:rsidR="00981A70" w:rsidRPr="00D56C4D" w:rsidRDefault="00981A70" w:rsidP="00981A70">
            <w:pPr>
              <w:rPr>
                <w:rFonts w:cs="Arial"/>
                <w:szCs w:val="20"/>
              </w:rPr>
            </w:pPr>
            <w:r w:rsidRPr="00D56C4D">
              <w:rPr>
                <w:rFonts w:cs="Arial"/>
                <w:szCs w:val="20"/>
              </w:rPr>
              <w:t>NEURONTIN 800 MG TABLET</w:t>
            </w:r>
          </w:p>
        </w:tc>
        <w:tc>
          <w:tcPr>
            <w:tcW w:w="3060" w:type="dxa"/>
            <w:vAlign w:val="bottom"/>
          </w:tcPr>
          <w:p w14:paraId="7F7CEB82" w14:textId="0AF06D76" w:rsidR="00981A70" w:rsidRPr="00D56C4D" w:rsidRDefault="00981A70" w:rsidP="00981A70">
            <w:pPr>
              <w:rPr>
                <w:rFonts w:cs="Arial"/>
                <w:szCs w:val="20"/>
              </w:rPr>
            </w:pPr>
            <w:r w:rsidRPr="00D56C4D">
              <w:rPr>
                <w:rFonts w:cs="Arial"/>
                <w:szCs w:val="20"/>
              </w:rPr>
              <w:t>GABAPENTIN</w:t>
            </w:r>
          </w:p>
        </w:tc>
        <w:tc>
          <w:tcPr>
            <w:tcW w:w="2425" w:type="dxa"/>
            <w:vAlign w:val="bottom"/>
          </w:tcPr>
          <w:p w14:paraId="7663E1C5" w14:textId="44A3F0A1" w:rsidR="00981A70" w:rsidRPr="00396A04" w:rsidRDefault="00981A70" w:rsidP="003D5AFB">
            <w:pPr>
              <w:jc w:val="center"/>
              <w:rPr>
                <w:rFonts w:cs="Arial"/>
                <w:szCs w:val="20"/>
              </w:rPr>
            </w:pPr>
            <w:r w:rsidRPr="00396A04">
              <w:rPr>
                <w:rFonts w:cs="Arial"/>
                <w:szCs w:val="20"/>
              </w:rPr>
              <w:t>3 tablets</w:t>
            </w:r>
          </w:p>
        </w:tc>
      </w:tr>
      <w:tr w:rsidR="00981A70" w:rsidRPr="00C02553" w14:paraId="6F7EABD2" w14:textId="77777777" w:rsidTr="00981A70">
        <w:trPr>
          <w:trHeight w:val="276"/>
        </w:trPr>
        <w:tc>
          <w:tcPr>
            <w:tcW w:w="3865" w:type="dxa"/>
            <w:vAlign w:val="bottom"/>
          </w:tcPr>
          <w:p w14:paraId="477C9BDA" w14:textId="69929132" w:rsidR="00981A70" w:rsidRPr="00D56C4D" w:rsidRDefault="00981A70" w:rsidP="00981A70">
            <w:pPr>
              <w:rPr>
                <w:rFonts w:cs="Arial"/>
                <w:szCs w:val="20"/>
              </w:rPr>
            </w:pPr>
            <w:r w:rsidRPr="00D56C4D">
              <w:rPr>
                <w:rFonts w:cs="Arial"/>
                <w:szCs w:val="20"/>
              </w:rPr>
              <w:t>QUTENZA 8% KIT</w:t>
            </w:r>
          </w:p>
        </w:tc>
        <w:tc>
          <w:tcPr>
            <w:tcW w:w="3060" w:type="dxa"/>
            <w:vAlign w:val="bottom"/>
          </w:tcPr>
          <w:p w14:paraId="1273C5BA" w14:textId="36D91962" w:rsidR="00981A70" w:rsidRPr="00D56C4D" w:rsidRDefault="00981A70" w:rsidP="00981A70">
            <w:pPr>
              <w:rPr>
                <w:rFonts w:cs="Arial"/>
                <w:szCs w:val="20"/>
              </w:rPr>
            </w:pPr>
            <w:r w:rsidRPr="00D56C4D">
              <w:rPr>
                <w:rFonts w:cs="Arial"/>
                <w:szCs w:val="20"/>
              </w:rPr>
              <w:t>CAPSAICIN/SKIN CLEANSER</w:t>
            </w:r>
          </w:p>
        </w:tc>
        <w:tc>
          <w:tcPr>
            <w:tcW w:w="2425" w:type="dxa"/>
            <w:vAlign w:val="bottom"/>
          </w:tcPr>
          <w:p w14:paraId="7E7527A4" w14:textId="41AFA5DC" w:rsidR="00981A70" w:rsidRPr="00396A04" w:rsidRDefault="00981A70" w:rsidP="003D5AFB">
            <w:pPr>
              <w:jc w:val="center"/>
              <w:rPr>
                <w:rFonts w:cs="Arial"/>
                <w:szCs w:val="20"/>
              </w:rPr>
            </w:pPr>
            <w:r w:rsidRPr="00D56C4D">
              <w:rPr>
                <w:rFonts w:cs="Arial"/>
                <w:szCs w:val="20"/>
              </w:rPr>
              <w:t xml:space="preserve">4 </w:t>
            </w:r>
            <w:r>
              <w:rPr>
                <w:rFonts w:cs="Arial"/>
                <w:szCs w:val="20"/>
              </w:rPr>
              <w:t>patches</w:t>
            </w:r>
          </w:p>
        </w:tc>
      </w:tr>
      <w:tr w:rsidR="00981A70" w:rsidRPr="00C02553" w14:paraId="2459BED9" w14:textId="77777777" w:rsidTr="00981A70">
        <w:trPr>
          <w:trHeight w:val="276"/>
        </w:trPr>
        <w:tc>
          <w:tcPr>
            <w:tcW w:w="3865" w:type="dxa"/>
            <w:vAlign w:val="bottom"/>
          </w:tcPr>
          <w:p w14:paraId="1847697C" w14:textId="21FB3FE2" w:rsidR="00981A70" w:rsidRPr="00D56C4D" w:rsidRDefault="00981A70" w:rsidP="00981A70">
            <w:pPr>
              <w:rPr>
                <w:rFonts w:cs="Arial"/>
                <w:szCs w:val="20"/>
              </w:rPr>
            </w:pPr>
            <w:r w:rsidRPr="00D56C4D">
              <w:rPr>
                <w:rFonts w:cs="Arial"/>
                <w:szCs w:val="20"/>
              </w:rPr>
              <w:t>ZTLIDO 1.8% TOPICAL SYSTEM</w:t>
            </w:r>
          </w:p>
        </w:tc>
        <w:tc>
          <w:tcPr>
            <w:tcW w:w="3060" w:type="dxa"/>
            <w:vAlign w:val="bottom"/>
          </w:tcPr>
          <w:p w14:paraId="06A67F82" w14:textId="3ECE8BA8" w:rsidR="00981A70" w:rsidRPr="00D56C4D" w:rsidRDefault="00981A70" w:rsidP="00981A70">
            <w:pPr>
              <w:rPr>
                <w:rFonts w:cs="Arial"/>
                <w:szCs w:val="20"/>
              </w:rPr>
            </w:pPr>
            <w:r w:rsidRPr="00D56C4D">
              <w:rPr>
                <w:rFonts w:cs="Arial"/>
                <w:caps/>
                <w:szCs w:val="20"/>
              </w:rPr>
              <w:t>Lidocaine</w:t>
            </w:r>
          </w:p>
        </w:tc>
        <w:tc>
          <w:tcPr>
            <w:tcW w:w="2425" w:type="dxa"/>
            <w:vAlign w:val="bottom"/>
          </w:tcPr>
          <w:p w14:paraId="3C766050" w14:textId="14D07B9C" w:rsidR="00981A70" w:rsidRPr="00D56C4D" w:rsidRDefault="00981A70" w:rsidP="003D5AFB">
            <w:pPr>
              <w:jc w:val="center"/>
              <w:rPr>
                <w:rFonts w:cs="Arial"/>
                <w:szCs w:val="20"/>
              </w:rPr>
            </w:pPr>
            <w:r w:rsidRPr="00D56C4D">
              <w:rPr>
                <w:rFonts w:cs="Arial"/>
                <w:caps/>
                <w:szCs w:val="20"/>
              </w:rPr>
              <w:t xml:space="preserve">3 </w:t>
            </w:r>
            <w:r>
              <w:rPr>
                <w:rFonts w:cs="Arial"/>
                <w:szCs w:val="20"/>
              </w:rPr>
              <w:t>patches</w:t>
            </w:r>
          </w:p>
        </w:tc>
      </w:tr>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3D83B7A7" w14:textId="77777777" w:rsidR="003A1F29" w:rsidRPr="00026A12" w:rsidRDefault="003A1F29" w:rsidP="003A1F29">
      <w:pPr>
        <w:numPr>
          <w:ilvl w:val="0"/>
          <w:numId w:val="19"/>
        </w:numPr>
        <w:rPr>
          <w:rFonts w:cs="Arial"/>
          <w:szCs w:val="20"/>
        </w:rPr>
      </w:pPr>
      <w:r w:rsidRPr="00026A12">
        <w:rPr>
          <w:rFonts w:cs="Arial"/>
          <w:szCs w:val="20"/>
        </w:rPr>
        <w:t>Evidence-Based Medicine and Fiscal Analysis: “</w:t>
      </w:r>
      <w:r w:rsidRPr="00026A12">
        <w:rPr>
          <w:rFonts w:cs="Arial"/>
        </w:rPr>
        <w:t xml:space="preserve">Neuropathic Pain Agents </w:t>
      </w:r>
      <w:r w:rsidRPr="00026A12">
        <w:rPr>
          <w:rFonts w:cs="Arial"/>
          <w:szCs w:val="20"/>
        </w:rPr>
        <w:t>– Therapeutic Class Review”, Conduent Business Services, L.L.C., Richmond, VA; November 2021.</w:t>
      </w:r>
    </w:p>
    <w:p w14:paraId="0129531F" w14:textId="154CC99B" w:rsidR="003A1F29" w:rsidRPr="0005618A" w:rsidRDefault="003A1F29" w:rsidP="003A1F29">
      <w:pPr>
        <w:numPr>
          <w:ilvl w:val="0"/>
          <w:numId w:val="19"/>
        </w:numPr>
        <w:spacing w:line="240" w:lineRule="exact"/>
        <w:rPr>
          <w:rFonts w:cs="Arial"/>
        </w:rPr>
      </w:pPr>
      <w:r w:rsidRPr="0005618A">
        <w:rPr>
          <w:rFonts w:cs="Arial"/>
        </w:rPr>
        <w:t xml:space="preserve">Evidence-Based Medicine Analysis: “Neuropathic Pain”, UMKC-DIC; </w:t>
      </w:r>
      <w:r w:rsidR="00464CAC">
        <w:rPr>
          <w:rFonts w:cs="Arial"/>
        </w:rPr>
        <w:t xml:space="preserve">August </w:t>
      </w:r>
      <w:r>
        <w:rPr>
          <w:rFonts w:cs="Arial"/>
        </w:rPr>
        <w:t>202</w:t>
      </w:r>
      <w:r w:rsidR="00464CAC">
        <w:rPr>
          <w:rFonts w:cs="Arial"/>
        </w:rPr>
        <w:t>5</w:t>
      </w:r>
      <w:r w:rsidRPr="0005618A">
        <w:rPr>
          <w:rFonts w:cs="Arial"/>
        </w:rPr>
        <w:t>.</w:t>
      </w:r>
    </w:p>
    <w:p w14:paraId="29666A62" w14:textId="77777777" w:rsidR="003A1F29" w:rsidRPr="00F02CE1" w:rsidRDefault="003A1F29" w:rsidP="003A1F29">
      <w:pPr>
        <w:numPr>
          <w:ilvl w:val="0"/>
          <w:numId w:val="19"/>
        </w:numPr>
        <w:spacing w:line="240" w:lineRule="exact"/>
        <w:rPr>
          <w:rFonts w:cs="Arial"/>
        </w:rPr>
      </w:pPr>
      <w:r w:rsidRPr="00F02CE1">
        <w:rPr>
          <w:rFonts w:cs="Arial"/>
        </w:rPr>
        <w:t xml:space="preserve">“Gabapentin Misuse, Abuse, and Diversion: A Systematic Review”. Havens, JR, Smith, RV, Walsh, SL. Addiction. 2016 July; 111(7): 1160–1174. </w:t>
      </w:r>
      <w:r w:rsidRPr="00F02CE1">
        <w:rPr>
          <w:rFonts w:cs="Arial"/>
          <w:noProof/>
        </w:rPr>
        <w:t>doi</w:t>
      </w:r>
      <w:r w:rsidRPr="00F02CE1">
        <w:rPr>
          <w:rFonts w:cs="Arial"/>
        </w:rPr>
        <w:t>:10.1111/add.13324.</w:t>
      </w:r>
    </w:p>
    <w:p w14:paraId="590C0C31" w14:textId="43C3FCB5" w:rsidR="003A1F29" w:rsidRDefault="003A1F29" w:rsidP="003A1F29">
      <w:pPr>
        <w:numPr>
          <w:ilvl w:val="0"/>
          <w:numId w:val="19"/>
        </w:numPr>
        <w:rPr>
          <w:rFonts w:cs="Arial"/>
          <w:szCs w:val="20"/>
        </w:rPr>
      </w:pPr>
      <w:r w:rsidRPr="00BC5635">
        <w:rPr>
          <w:rFonts w:cs="Arial"/>
          <w:szCs w:val="20"/>
        </w:rPr>
        <w:t>USPDI, Micromedex; 202</w:t>
      </w:r>
      <w:r>
        <w:rPr>
          <w:rFonts w:cs="Arial"/>
          <w:szCs w:val="20"/>
        </w:rPr>
        <w:t>5</w:t>
      </w:r>
      <w:r w:rsidRPr="00BC5635">
        <w:rPr>
          <w:rFonts w:cs="Arial"/>
          <w:szCs w:val="20"/>
        </w:rPr>
        <w:t xml:space="preserve">. </w:t>
      </w:r>
    </w:p>
    <w:p w14:paraId="3FA1E7DB" w14:textId="72F44325" w:rsidR="00777CA4" w:rsidRPr="003A1F29" w:rsidRDefault="003A1F29" w:rsidP="003A1F29">
      <w:pPr>
        <w:numPr>
          <w:ilvl w:val="0"/>
          <w:numId w:val="19"/>
        </w:numPr>
        <w:rPr>
          <w:rFonts w:cs="Arial"/>
          <w:szCs w:val="20"/>
        </w:rPr>
      </w:pPr>
      <w:r w:rsidRPr="00BC5635">
        <w:rPr>
          <w:rFonts w:cs="Arial"/>
          <w:szCs w:val="20"/>
        </w:rPr>
        <w:t>Facts and Comparisons eAnswers (online); 202</w:t>
      </w:r>
      <w:r>
        <w:rPr>
          <w:rFonts w:cs="Arial"/>
          <w:szCs w:val="20"/>
        </w:rPr>
        <w:t>5</w:t>
      </w:r>
      <w:r w:rsidRPr="00BC5635">
        <w:rPr>
          <w:rFonts w:cs="Arial"/>
          <w:szCs w:val="20"/>
        </w:rPr>
        <w:t xml:space="preserve"> Clinical Drug Information, LLC. </w:t>
      </w:r>
    </w:p>
    <w:sectPr w:rsidR="00777CA4" w:rsidRPr="003A1F29" w:rsidSect="00AB0B9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6F165" w14:textId="77777777" w:rsidR="00036EC9" w:rsidRPr="00C02553" w:rsidRDefault="00036EC9" w:rsidP="00AE77DB">
      <w:r w:rsidRPr="00C02553">
        <w:separator/>
      </w:r>
    </w:p>
  </w:endnote>
  <w:endnote w:type="continuationSeparator" w:id="0">
    <w:p w14:paraId="1BCC3C6C" w14:textId="77777777" w:rsidR="00036EC9" w:rsidRPr="00C02553" w:rsidRDefault="00036EC9" w:rsidP="00AE77DB">
      <w:r w:rsidRPr="00C02553">
        <w:continuationSeparator/>
      </w:r>
    </w:p>
  </w:endnote>
  <w:endnote w:type="continuationNotice" w:id="1">
    <w:p w14:paraId="1ED92248" w14:textId="77777777" w:rsidR="00036EC9" w:rsidRPr="00C02553" w:rsidRDefault="00036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EF0A9" w14:textId="77777777" w:rsidR="00036EC9" w:rsidRPr="00C02553" w:rsidRDefault="00036EC9" w:rsidP="00AE77DB">
      <w:r w:rsidRPr="00C02553">
        <w:separator/>
      </w:r>
    </w:p>
  </w:footnote>
  <w:footnote w:type="continuationSeparator" w:id="0">
    <w:p w14:paraId="2270D6D9" w14:textId="77777777" w:rsidR="00036EC9" w:rsidRPr="00C02553" w:rsidRDefault="00036EC9" w:rsidP="00AE77DB">
      <w:r w:rsidRPr="00C02553">
        <w:continuationSeparator/>
      </w:r>
    </w:p>
  </w:footnote>
  <w:footnote w:type="continuationNotice" w:id="1">
    <w:p w14:paraId="36DE7EAB" w14:textId="77777777" w:rsidR="00036EC9" w:rsidRPr="00C02553" w:rsidRDefault="00036E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D11C4D">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D11C4D">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D11C4D">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1C44CB4"/>
    <w:multiLevelType w:val="multilevel"/>
    <w:tmpl w:val="CBFAB4A4"/>
    <w:lvl w:ilvl="0">
      <w:start w:val="1"/>
      <w:numFmt w:val="bullet"/>
      <w:lvlText w:val=""/>
      <w:lvlJc w:val="left"/>
      <w:pPr>
        <w:tabs>
          <w:tab w:val="num" w:pos="720"/>
        </w:tabs>
        <w:ind w:left="720" w:hanging="360"/>
      </w:pPr>
      <w:rPr>
        <w:rFonts w:ascii="Symbol" w:hAnsi="Symbol" w:hint="default"/>
        <w:color w:val="auto"/>
        <w:sz w:val="20"/>
        <w:szCs w:val="24"/>
      </w:rPr>
    </w:lvl>
    <w:lvl w:ilvl="1">
      <w:start w:val="1"/>
      <w:numFmt w:val="bullet"/>
      <w:lvlText w:val="o"/>
      <w:lvlJc w:val="left"/>
      <w:pPr>
        <w:tabs>
          <w:tab w:val="num" w:pos="720"/>
        </w:tabs>
        <w:ind w:left="720" w:hanging="360"/>
      </w:pPr>
      <w:rPr>
        <w:rFonts w:ascii="Courier New" w:hAnsi="Courier New" w:cs="Courier New" w:hint="default"/>
        <w:sz w:val="20"/>
      </w:rPr>
    </w:lvl>
    <w:lvl w:ilvl="2">
      <w:start w:val="1"/>
      <w:numFmt w:val="bullet"/>
      <w:lvlText w:val=""/>
      <w:lvlJc w:val="left"/>
      <w:pPr>
        <w:ind w:left="108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281AB9"/>
    <w:multiLevelType w:val="hybridMultilevel"/>
    <w:tmpl w:val="B8C6074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57081"/>
    <w:multiLevelType w:val="hybridMultilevel"/>
    <w:tmpl w:val="906E5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0F4489F"/>
    <w:multiLevelType w:val="hybridMultilevel"/>
    <w:tmpl w:val="64DA6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E954B8"/>
    <w:multiLevelType w:val="hybridMultilevel"/>
    <w:tmpl w:val="6D526F34"/>
    <w:lvl w:ilvl="0" w:tplc="9026783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8"/>
  </w:num>
  <w:num w:numId="3" w16cid:durableId="1729067566">
    <w:abstractNumId w:val="4"/>
  </w:num>
  <w:num w:numId="4" w16cid:durableId="320159068">
    <w:abstractNumId w:val="9"/>
  </w:num>
  <w:num w:numId="5" w16cid:durableId="1769498754">
    <w:abstractNumId w:val="3"/>
  </w:num>
  <w:num w:numId="6" w16cid:durableId="1094596320">
    <w:abstractNumId w:val="14"/>
  </w:num>
  <w:num w:numId="7" w16cid:durableId="2110008555">
    <w:abstractNumId w:val="2"/>
  </w:num>
  <w:num w:numId="8" w16cid:durableId="489712751">
    <w:abstractNumId w:val="8"/>
  </w:num>
  <w:num w:numId="9" w16cid:durableId="1085147965">
    <w:abstractNumId w:val="12"/>
  </w:num>
  <w:num w:numId="10" w16cid:durableId="917518096">
    <w:abstractNumId w:val="10"/>
  </w:num>
  <w:num w:numId="11" w16cid:durableId="1894998475">
    <w:abstractNumId w:val="1"/>
  </w:num>
  <w:num w:numId="12" w16cid:durableId="1418215296">
    <w:abstractNumId w:val="16"/>
  </w:num>
  <w:num w:numId="13" w16cid:durableId="604729665">
    <w:abstractNumId w:val="7"/>
  </w:num>
  <w:num w:numId="14" w16cid:durableId="1805081292">
    <w:abstractNumId w:val="13"/>
  </w:num>
  <w:num w:numId="15" w16cid:durableId="1126779567">
    <w:abstractNumId w:val="11"/>
  </w:num>
  <w:num w:numId="16" w16cid:durableId="494416031">
    <w:abstractNumId w:val="17"/>
  </w:num>
  <w:num w:numId="17" w16cid:durableId="211305080">
    <w:abstractNumId w:val="15"/>
  </w:num>
  <w:num w:numId="18" w16cid:durableId="1754623454">
    <w:abstractNumId w:val="5"/>
  </w:num>
  <w:num w:numId="19" w16cid:durableId="174295032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1DA6"/>
    <w:rsid w:val="00017877"/>
    <w:rsid w:val="000276D9"/>
    <w:rsid w:val="00031F97"/>
    <w:rsid w:val="000323E1"/>
    <w:rsid w:val="000344C5"/>
    <w:rsid w:val="00036EC9"/>
    <w:rsid w:val="00040AD3"/>
    <w:rsid w:val="00053807"/>
    <w:rsid w:val="000572E5"/>
    <w:rsid w:val="00057F84"/>
    <w:rsid w:val="00061541"/>
    <w:rsid w:val="00064162"/>
    <w:rsid w:val="00065C22"/>
    <w:rsid w:val="00074464"/>
    <w:rsid w:val="00076030"/>
    <w:rsid w:val="00082590"/>
    <w:rsid w:val="000913C3"/>
    <w:rsid w:val="000915B3"/>
    <w:rsid w:val="000953B9"/>
    <w:rsid w:val="000A413B"/>
    <w:rsid w:val="000A6279"/>
    <w:rsid w:val="000B496B"/>
    <w:rsid w:val="000C3940"/>
    <w:rsid w:val="000C5992"/>
    <w:rsid w:val="000D2C0B"/>
    <w:rsid w:val="000E1479"/>
    <w:rsid w:val="000E231E"/>
    <w:rsid w:val="000E247D"/>
    <w:rsid w:val="000E6B14"/>
    <w:rsid w:val="000E70D8"/>
    <w:rsid w:val="000F2A69"/>
    <w:rsid w:val="000F2F4E"/>
    <w:rsid w:val="001062F6"/>
    <w:rsid w:val="00112FC7"/>
    <w:rsid w:val="00125F5F"/>
    <w:rsid w:val="00126951"/>
    <w:rsid w:val="00126B60"/>
    <w:rsid w:val="00127EF6"/>
    <w:rsid w:val="001310AD"/>
    <w:rsid w:val="001314A5"/>
    <w:rsid w:val="00132C7F"/>
    <w:rsid w:val="00144DBE"/>
    <w:rsid w:val="00152C8B"/>
    <w:rsid w:val="00152D12"/>
    <w:rsid w:val="0015636A"/>
    <w:rsid w:val="00172053"/>
    <w:rsid w:val="00177A80"/>
    <w:rsid w:val="001A50CB"/>
    <w:rsid w:val="001A5203"/>
    <w:rsid w:val="001A74B7"/>
    <w:rsid w:val="001B2D47"/>
    <w:rsid w:val="001B32E2"/>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70C5E"/>
    <w:rsid w:val="00290A03"/>
    <w:rsid w:val="0029159A"/>
    <w:rsid w:val="00291600"/>
    <w:rsid w:val="002A0267"/>
    <w:rsid w:val="002A02F4"/>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2A5"/>
    <w:rsid w:val="003355AC"/>
    <w:rsid w:val="00343D6B"/>
    <w:rsid w:val="00344121"/>
    <w:rsid w:val="00347FB5"/>
    <w:rsid w:val="00355515"/>
    <w:rsid w:val="003608B5"/>
    <w:rsid w:val="003613AF"/>
    <w:rsid w:val="003878C1"/>
    <w:rsid w:val="00396C0B"/>
    <w:rsid w:val="003A1F29"/>
    <w:rsid w:val="003A5625"/>
    <w:rsid w:val="003A630F"/>
    <w:rsid w:val="003B3958"/>
    <w:rsid w:val="003B4820"/>
    <w:rsid w:val="003B5F4B"/>
    <w:rsid w:val="003B682F"/>
    <w:rsid w:val="003C3A50"/>
    <w:rsid w:val="003C53FC"/>
    <w:rsid w:val="003C7013"/>
    <w:rsid w:val="003D5AFB"/>
    <w:rsid w:val="003D641B"/>
    <w:rsid w:val="003F227C"/>
    <w:rsid w:val="004023CC"/>
    <w:rsid w:val="00407564"/>
    <w:rsid w:val="00411152"/>
    <w:rsid w:val="004156AA"/>
    <w:rsid w:val="00420ECD"/>
    <w:rsid w:val="004253A1"/>
    <w:rsid w:val="004313B6"/>
    <w:rsid w:val="00433339"/>
    <w:rsid w:val="00445CC7"/>
    <w:rsid w:val="00446BBC"/>
    <w:rsid w:val="004472C0"/>
    <w:rsid w:val="00450705"/>
    <w:rsid w:val="00451928"/>
    <w:rsid w:val="00464CAC"/>
    <w:rsid w:val="0046618B"/>
    <w:rsid w:val="0048608C"/>
    <w:rsid w:val="00496E57"/>
    <w:rsid w:val="004B3E10"/>
    <w:rsid w:val="004C0F5D"/>
    <w:rsid w:val="004C375A"/>
    <w:rsid w:val="004C4954"/>
    <w:rsid w:val="004C5767"/>
    <w:rsid w:val="004D5322"/>
    <w:rsid w:val="004D78B0"/>
    <w:rsid w:val="004E611F"/>
    <w:rsid w:val="004F2A79"/>
    <w:rsid w:val="004F4D37"/>
    <w:rsid w:val="004F7430"/>
    <w:rsid w:val="00501A14"/>
    <w:rsid w:val="00501DE3"/>
    <w:rsid w:val="005058CB"/>
    <w:rsid w:val="0051044D"/>
    <w:rsid w:val="005139E4"/>
    <w:rsid w:val="00515075"/>
    <w:rsid w:val="00520FE9"/>
    <w:rsid w:val="005233E7"/>
    <w:rsid w:val="005328B2"/>
    <w:rsid w:val="00535BD5"/>
    <w:rsid w:val="00540977"/>
    <w:rsid w:val="00551668"/>
    <w:rsid w:val="00555FA4"/>
    <w:rsid w:val="005572D5"/>
    <w:rsid w:val="005604E2"/>
    <w:rsid w:val="00566BE4"/>
    <w:rsid w:val="00570D21"/>
    <w:rsid w:val="00573856"/>
    <w:rsid w:val="00576113"/>
    <w:rsid w:val="00582EB1"/>
    <w:rsid w:val="00590652"/>
    <w:rsid w:val="0059235F"/>
    <w:rsid w:val="00596936"/>
    <w:rsid w:val="005A2F1E"/>
    <w:rsid w:val="005A4232"/>
    <w:rsid w:val="005C3616"/>
    <w:rsid w:val="005C6BB4"/>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3C18"/>
    <w:rsid w:val="00625C3A"/>
    <w:rsid w:val="00633D96"/>
    <w:rsid w:val="00635DDB"/>
    <w:rsid w:val="00640F75"/>
    <w:rsid w:val="0064149A"/>
    <w:rsid w:val="00646DFE"/>
    <w:rsid w:val="00650530"/>
    <w:rsid w:val="00650C96"/>
    <w:rsid w:val="00652D51"/>
    <w:rsid w:val="00653788"/>
    <w:rsid w:val="0065477F"/>
    <w:rsid w:val="00656896"/>
    <w:rsid w:val="00661656"/>
    <w:rsid w:val="00662DA4"/>
    <w:rsid w:val="0066374F"/>
    <w:rsid w:val="00677C65"/>
    <w:rsid w:val="00691557"/>
    <w:rsid w:val="00691E5E"/>
    <w:rsid w:val="00693152"/>
    <w:rsid w:val="00694FAE"/>
    <w:rsid w:val="00696E3A"/>
    <w:rsid w:val="00697475"/>
    <w:rsid w:val="006A0834"/>
    <w:rsid w:val="006A4BBD"/>
    <w:rsid w:val="006A52F1"/>
    <w:rsid w:val="006B561D"/>
    <w:rsid w:val="006B6D5D"/>
    <w:rsid w:val="006C6855"/>
    <w:rsid w:val="006D2330"/>
    <w:rsid w:val="006E0F8B"/>
    <w:rsid w:val="006E12F7"/>
    <w:rsid w:val="006E29D7"/>
    <w:rsid w:val="007068A4"/>
    <w:rsid w:val="00706D67"/>
    <w:rsid w:val="00713052"/>
    <w:rsid w:val="00721367"/>
    <w:rsid w:val="007231FA"/>
    <w:rsid w:val="007275C3"/>
    <w:rsid w:val="00732C67"/>
    <w:rsid w:val="00734288"/>
    <w:rsid w:val="00734418"/>
    <w:rsid w:val="00757826"/>
    <w:rsid w:val="007632B7"/>
    <w:rsid w:val="0076382F"/>
    <w:rsid w:val="00765768"/>
    <w:rsid w:val="00765D10"/>
    <w:rsid w:val="00766AC8"/>
    <w:rsid w:val="00767486"/>
    <w:rsid w:val="0077070E"/>
    <w:rsid w:val="0077296A"/>
    <w:rsid w:val="00777CA4"/>
    <w:rsid w:val="00792DF0"/>
    <w:rsid w:val="0079438F"/>
    <w:rsid w:val="007A2808"/>
    <w:rsid w:val="007A3034"/>
    <w:rsid w:val="007A527E"/>
    <w:rsid w:val="007A53E7"/>
    <w:rsid w:val="007A78F7"/>
    <w:rsid w:val="007B3333"/>
    <w:rsid w:val="007B379F"/>
    <w:rsid w:val="007B37D6"/>
    <w:rsid w:val="007B5D30"/>
    <w:rsid w:val="007D2920"/>
    <w:rsid w:val="007D42DD"/>
    <w:rsid w:val="007E6A37"/>
    <w:rsid w:val="007F1774"/>
    <w:rsid w:val="00811A70"/>
    <w:rsid w:val="0081406E"/>
    <w:rsid w:val="008170F9"/>
    <w:rsid w:val="00832211"/>
    <w:rsid w:val="008325F4"/>
    <w:rsid w:val="00832AC8"/>
    <w:rsid w:val="00844981"/>
    <w:rsid w:val="00846FA4"/>
    <w:rsid w:val="008524BA"/>
    <w:rsid w:val="00852B74"/>
    <w:rsid w:val="00856928"/>
    <w:rsid w:val="00865538"/>
    <w:rsid w:val="00870875"/>
    <w:rsid w:val="0088225C"/>
    <w:rsid w:val="0088237E"/>
    <w:rsid w:val="0088280F"/>
    <w:rsid w:val="00884026"/>
    <w:rsid w:val="00884C78"/>
    <w:rsid w:val="008859E1"/>
    <w:rsid w:val="00896264"/>
    <w:rsid w:val="008A4ADE"/>
    <w:rsid w:val="008A5D88"/>
    <w:rsid w:val="008B2851"/>
    <w:rsid w:val="008C000E"/>
    <w:rsid w:val="008D0F2F"/>
    <w:rsid w:val="008D237F"/>
    <w:rsid w:val="008D6B05"/>
    <w:rsid w:val="008E7D2D"/>
    <w:rsid w:val="008F44C0"/>
    <w:rsid w:val="008F5999"/>
    <w:rsid w:val="00903AD6"/>
    <w:rsid w:val="00904D7A"/>
    <w:rsid w:val="00915332"/>
    <w:rsid w:val="009204BB"/>
    <w:rsid w:val="009254AC"/>
    <w:rsid w:val="00935918"/>
    <w:rsid w:val="00935EC3"/>
    <w:rsid w:val="00951097"/>
    <w:rsid w:val="00953C1E"/>
    <w:rsid w:val="0096210F"/>
    <w:rsid w:val="00962633"/>
    <w:rsid w:val="00963187"/>
    <w:rsid w:val="00963ACF"/>
    <w:rsid w:val="00963D1C"/>
    <w:rsid w:val="00964284"/>
    <w:rsid w:val="0097028A"/>
    <w:rsid w:val="00973BD6"/>
    <w:rsid w:val="00981A70"/>
    <w:rsid w:val="00984549"/>
    <w:rsid w:val="00985D28"/>
    <w:rsid w:val="00991BF0"/>
    <w:rsid w:val="00996597"/>
    <w:rsid w:val="009A0FB1"/>
    <w:rsid w:val="009A1FAC"/>
    <w:rsid w:val="009B001A"/>
    <w:rsid w:val="009B1A62"/>
    <w:rsid w:val="009C3CC7"/>
    <w:rsid w:val="009D2057"/>
    <w:rsid w:val="009D3D6C"/>
    <w:rsid w:val="009D5551"/>
    <w:rsid w:val="009D62DB"/>
    <w:rsid w:val="009E3B42"/>
    <w:rsid w:val="009F76E8"/>
    <w:rsid w:val="00A05B60"/>
    <w:rsid w:val="00A07736"/>
    <w:rsid w:val="00A13266"/>
    <w:rsid w:val="00A14FA6"/>
    <w:rsid w:val="00A15D64"/>
    <w:rsid w:val="00A20575"/>
    <w:rsid w:val="00A30C0B"/>
    <w:rsid w:val="00A32452"/>
    <w:rsid w:val="00A32BBF"/>
    <w:rsid w:val="00A37444"/>
    <w:rsid w:val="00A4281A"/>
    <w:rsid w:val="00A459CF"/>
    <w:rsid w:val="00A5014D"/>
    <w:rsid w:val="00A53E96"/>
    <w:rsid w:val="00A56F18"/>
    <w:rsid w:val="00A628F8"/>
    <w:rsid w:val="00A62BAA"/>
    <w:rsid w:val="00A66172"/>
    <w:rsid w:val="00A744C3"/>
    <w:rsid w:val="00A958BC"/>
    <w:rsid w:val="00AA70AB"/>
    <w:rsid w:val="00AB0B9F"/>
    <w:rsid w:val="00AB1713"/>
    <w:rsid w:val="00AB63BE"/>
    <w:rsid w:val="00AC1EBC"/>
    <w:rsid w:val="00AC2599"/>
    <w:rsid w:val="00AC2DE9"/>
    <w:rsid w:val="00AD2C5F"/>
    <w:rsid w:val="00AD56A9"/>
    <w:rsid w:val="00AE1481"/>
    <w:rsid w:val="00AE263D"/>
    <w:rsid w:val="00AE27F9"/>
    <w:rsid w:val="00AE77DB"/>
    <w:rsid w:val="00AF7453"/>
    <w:rsid w:val="00B00FFF"/>
    <w:rsid w:val="00B06084"/>
    <w:rsid w:val="00B16735"/>
    <w:rsid w:val="00B17EDE"/>
    <w:rsid w:val="00B22585"/>
    <w:rsid w:val="00B22821"/>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16A3"/>
    <w:rsid w:val="00BE354A"/>
    <w:rsid w:val="00BF5EEF"/>
    <w:rsid w:val="00C02553"/>
    <w:rsid w:val="00C03299"/>
    <w:rsid w:val="00C04EB6"/>
    <w:rsid w:val="00C055DD"/>
    <w:rsid w:val="00C056F9"/>
    <w:rsid w:val="00C07CA3"/>
    <w:rsid w:val="00C1018C"/>
    <w:rsid w:val="00C1150E"/>
    <w:rsid w:val="00C14D52"/>
    <w:rsid w:val="00C2586C"/>
    <w:rsid w:val="00C26001"/>
    <w:rsid w:val="00C27456"/>
    <w:rsid w:val="00C34E72"/>
    <w:rsid w:val="00C56B1F"/>
    <w:rsid w:val="00C61B52"/>
    <w:rsid w:val="00C62745"/>
    <w:rsid w:val="00C654CA"/>
    <w:rsid w:val="00C722C9"/>
    <w:rsid w:val="00C763BD"/>
    <w:rsid w:val="00C779A8"/>
    <w:rsid w:val="00C82E19"/>
    <w:rsid w:val="00C92012"/>
    <w:rsid w:val="00C96873"/>
    <w:rsid w:val="00CA1735"/>
    <w:rsid w:val="00CA3C4B"/>
    <w:rsid w:val="00CA4FBD"/>
    <w:rsid w:val="00CA7252"/>
    <w:rsid w:val="00CB2C5A"/>
    <w:rsid w:val="00CB2D8F"/>
    <w:rsid w:val="00CD4965"/>
    <w:rsid w:val="00CE0C1C"/>
    <w:rsid w:val="00CE34AF"/>
    <w:rsid w:val="00CF00A4"/>
    <w:rsid w:val="00CF25FB"/>
    <w:rsid w:val="00CF614C"/>
    <w:rsid w:val="00D02F34"/>
    <w:rsid w:val="00D12051"/>
    <w:rsid w:val="00D13D87"/>
    <w:rsid w:val="00D16590"/>
    <w:rsid w:val="00D20720"/>
    <w:rsid w:val="00D250D9"/>
    <w:rsid w:val="00D27533"/>
    <w:rsid w:val="00D42DA3"/>
    <w:rsid w:val="00D4546D"/>
    <w:rsid w:val="00D47996"/>
    <w:rsid w:val="00D61118"/>
    <w:rsid w:val="00D614F1"/>
    <w:rsid w:val="00D66E1B"/>
    <w:rsid w:val="00D70D50"/>
    <w:rsid w:val="00D71917"/>
    <w:rsid w:val="00D86370"/>
    <w:rsid w:val="00DA3A0F"/>
    <w:rsid w:val="00DA4E62"/>
    <w:rsid w:val="00DA6990"/>
    <w:rsid w:val="00DB27BA"/>
    <w:rsid w:val="00DB337A"/>
    <w:rsid w:val="00DC51CB"/>
    <w:rsid w:val="00DC7311"/>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17FA"/>
    <w:rsid w:val="00E6466A"/>
    <w:rsid w:val="00E72221"/>
    <w:rsid w:val="00E7517F"/>
    <w:rsid w:val="00E83428"/>
    <w:rsid w:val="00E84C58"/>
    <w:rsid w:val="00E873A5"/>
    <w:rsid w:val="00E90D11"/>
    <w:rsid w:val="00E915E5"/>
    <w:rsid w:val="00EB0367"/>
    <w:rsid w:val="00EB4FB9"/>
    <w:rsid w:val="00EB5BC8"/>
    <w:rsid w:val="00EB6821"/>
    <w:rsid w:val="00EC2738"/>
    <w:rsid w:val="00ED7B42"/>
    <w:rsid w:val="00EE334E"/>
    <w:rsid w:val="00EE3EA5"/>
    <w:rsid w:val="00EE613F"/>
    <w:rsid w:val="00EE6BD1"/>
    <w:rsid w:val="00EF0262"/>
    <w:rsid w:val="00EF0828"/>
    <w:rsid w:val="00EF6F8B"/>
    <w:rsid w:val="00F03898"/>
    <w:rsid w:val="00F0532C"/>
    <w:rsid w:val="00F1527A"/>
    <w:rsid w:val="00F2696B"/>
    <w:rsid w:val="00F27821"/>
    <w:rsid w:val="00F323FE"/>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5E96"/>
    <w:rsid w:val="00FC05A0"/>
    <w:rsid w:val="00FC6758"/>
    <w:rsid w:val="00FD34EA"/>
    <w:rsid w:val="00FE1BA3"/>
    <w:rsid w:val="00FE3F3E"/>
    <w:rsid w:val="00FE4D52"/>
    <w:rsid w:val="00FE5AEE"/>
    <w:rsid w:val="00FF0F51"/>
    <w:rsid w:val="00FF106B"/>
    <w:rsid w:val="00FF3A59"/>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C055DD"/>
    <w:rPr>
      <w:sz w:val="16"/>
      <w:szCs w:val="16"/>
    </w:rPr>
  </w:style>
  <w:style w:type="paragraph" w:styleId="CommentSubject">
    <w:name w:val="annotation subject"/>
    <w:basedOn w:val="CommentText"/>
    <w:next w:val="CommentText"/>
    <w:link w:val="CommentSubjectChar"/>
    <w:uiPriority w:val="99"/>
    <w:semiHidden/>
    <w:unhideWhenUsed/>
    <w:rsid w:val="00C055DD"/>
    <w:rPr>
      <w:b/>
      <w:bCs/>
    </w:rPr>
  </w:style>
  <w:style w:type="character" w:customStyle="1" w:styleId="CommentTextChar">
    <w:name w:val="Comment Text Char"/>
    <w:basedOn w:val="DefaultParagraphFont"/>
    <w:link w:val="CommentText"/>
    <w:semiHidden/>
    <w:rsid w:val="00C055DD"/>
    <w:rPr>
      <w:rFonts w:ascii="Arial" w:hAnsi="Arial"/>
    </w:rPr>
  </w:style>
  <w:style w:type="character" w:customStyle="1" w:styleId="CommentSubjectChar">
    <w:name w:val="Comment Subject Char"/>
    <w:basedOn w:val="CommentTextChar"/>
    <w:link w:val="CommentSubject"/>
    <w:uiPriority w:val="99"/>
    <w:semiHidden/>
    <w:rsid w:val="00C055DD"/>
    <w:rPr>
      <w:rFonts w:ascii="Arial" w:hAnsi="Arial"/>
      <w:b/>
      <w:bCs/>
    </w:rPr>
  </w:style>
  <w:style w:type="paragraph" w:styleId="Revision">
    <w:name w:val="Revision"/>
    <w:hidden/>
    <w:uiPriority w:val="99"/>
    <w:semiHidden/>
    <w:rsid w:val="001A520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com/v3/__https:/mydss.mo.gov/mhd/pharmacy-clinical-edits-pdl__;!!Mh0G0HQJXw!Ftntf4uiw5MU21pklbS14xE_VFdv-QswbQ7Ygqy9IP_XiQhNonJ128hUnwn9QwwCXMNzvL5FA68XQFxs84P4HiFCuNFmnaq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698241-AFBA-486E-B8C9-6BB555888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0F9992BC-7C11-4A83-A97F-D2E41AE80BFC}">
  <ds:schemaRefs>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aba01ddc-ae9a-4c9e-819c-7140b4239cde"/>
    <ds:schemaRef ds:uri="http://schemas.microsoft.com/office/infopath/2007/PartnerControls"/>
    <ds:schemaRef ds:uri="f5eefb00-5952-4f7e-8cf8-96f81cfadd01"/>
    <ds:schemaRef ds:uri="http://schemas.microsoft.com/sharepoint/v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666</Words>
  <Characters>4241</Characters>
  <Application>Microsoft Office Word</Application>
  <DocSecurity>0</DocSecurity>
  <Lines>163</Lines>
  <Paragraphs>158</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Neuropathic Pain Agents PDL Edit</dc:title>
  <dc:creator>DMS</dc:creator>
  <cp:lastModifiedBy>Dolan, John</cp:lastModifiedBy>
  <cp:revision>68</cp:revision>
  <cp:lastPrinted>2018-10-31T20:17:00Z</cp:lastPrinted>
  <dcterms:created xsi:type="dcterms:W3CDTF">2025-09-19T16:48:00Z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