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r w:rsidRPr="00C02553">
        <w:rPr>
          <w:lang w:val="en-US"/>
        </w:rPr>
        <w:t>SmartPA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3DF4DF78" w:rsidR="004C5767" w:rsidRPr="008859E1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 w:rsidRPr="00573856">
        <w:rPr>
          <w:b w:val="0"/>
          <w:bCs/>
        </w:rPr>
        <w:t xml:space="preserve"> </w:t>
      </w:r>
      <w:r w:rsidR="00955D9E" w:rsidRPr="00955D9E">
        <w:rPr>
          <w:b w:val="0"/>
          <w:bCs/>
        </w:rPr>
        <w:t>Calcitonin Gene-Related Peptide (CGRP) Inhibitors PDL Edit</w:t>
      </w:r>
    </w:p>
    <w:p w14:paraId="7AD7FFCE" w14:textId="04BA9E82" w:rsidR="004C5767" w:rsidRPr="00C02553" w:rsidRDefault="004C5767" w:rsidP="00D27533">
      <w:pPr>
        <w:pStyle w:val="tbody"/>
      </w:pPr>
      <w:r w:rsidRPr="00C02553">
        <w:t>First Implementation Date:</w:t>
      </w:r>
      <w:r w:rsidRPr="00573856">
        <w:rPr>
          <w:b w:val="0"/>
          <w:bCs/>
        </w:rPr>
        <w:t xml:space="preserve"> </w:t>
      </w:r>
      <w:r w:rsidR="00C16615" w:rsidRPr="00C16615">
        <w:rPr>
          <w:b w:val="0"/>
          <w:bCs/>
        </w:rPr>
        <w:t>July 11, 2019</w:t>
      </w:r>
    </w:p>
    <w:p w14:paraId="4B7D760D" w14:textId="77F84E4D" w:rsidR="004C5767" w:rsidRPr="00057F84" w:rsidRDefault="00F41F69" w:rsidP="70E341D6">
      <w:pPr>
        <w:pStyle w:val="tbody"/>
        <w:rPr>
          <w:b w:val="0"/>
        </w:rPr>
      </w:pPr>
      <w:r>
        <w:t>Propo</w:t>
      </w:r>
      <w:r w:rsidR="004C5767">
        <w:t>sed Date:</w:t>
      </w:r>
      <w:r w:rsidR="00065C22">
        <w:t xml:space="preserve"> </w:t>
      </w:r>
      <w:r w:rsidR="00057F84">
        <w:rPr>
          <w:b w:val="0"/>
        </w:rPr>
        <w:t>January 20, 202</w:t>
      </w:r>
      <w:r w:rsidR="6EB7A09E">
        <w:rPr>
          <w:b w:val="0"/>
        </w:rPr>
        <w:t>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065FA677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C02553">
        <w:t xml:space="preserve">Criteria Status: </w:t>
      </w:r>
      <w:r w:rsidR="00566BE4" w:rsidRPr="00D27533">
        <w:rPr>
          <w:b w:val="0"/>
          <w:bCs/>
          <w:spacing w:val="-3"/>
        </w:rPr>
        <w:t>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77777777" w:rsidR="00D47996" w:rsidRDefault="00D47996" w:rsidP="00696E3A">
      <w:r w:rsidRPr="00D47996">
        <w:t xml:space="preserve">The MO HealthNet Pharmacy Program will implement a state-specific preferred drug list. 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7C55EC63" w14:textId="77777777" w:rsidR="00544454" w:rsidRPr="00DB6EA7" w:rsidRDefault="00544454" w:rsidP="00544454">
      <w:pPr>
        <w:pStyle w:val="BodyText"/>
        <w:spacing w:before="3" w:line="237" w:lineRule="auto"/>
        <w:ind w:right="196"/>
        <w:rPr>
          <w:rFonts w:ascii="Arial" w:hAnsi="Arial" w:cs="Arial"/>
          <w:sz w:val="20"/>
          <w:szCs w:val="20"/>
        </w:rPr>
      </w:pPr>
      <w:r w:rsidRPr="5BF33CB0">
        <w:rPr>
          <w:rFonts w:ascii="Arial" w:hAnsi="Arial" w:cs="Arial"/>
          <w:sz w:val="20"/>
          <w:szCs w:val="20"/>
        </w:rPr>
        <w:t xml:space="preserve">Migraine headache is a chronic, debilitating condition that tends to afflict young, productive, and otherwise healthy people. Patients with frequent or severe migraine headaches who are refractory to acute treatments should receive preventative therapy. Calcitonin </w:t>
      </w:r>
      <w:r>
        <w:rPr>
          <w:rFonts w:ascii="Arial" w:hAnsi="Arial" w:cs="Arial"/>
          <w:sz w:val="20"/>
          <w:szCs w:val="20"/>
        </w:rPr>
        <w:t>g</w:t>
      </w:r>
      <w:r w:rsidRPr="5BF33CB0">
        <w:rPr>
          <w:rFonts w:ascii="Arial" w:hAnsi="Arial" w:cs="Arial"/>
          <w:sz w:val="20"/>
          <w:szCs w:val="20"/>
        </w:rPr>
        <w:t>ene-</w:t>
      </w:r>
      <w:r>
        <w:rPr>
          <w:rFonts w:ascii="Arial" w:hAnsi="Arial" w:cs="Arial"/>
          <w:sz w:val="20"/>
          <w:szCs w:val="20"/>
        </w:rPr>
        <w:t>r</w:t>
      </w:r>
      <w:r w:rsidRPr="5BF33CB0">
        <w:rPr>
          <w:rFonts w:ascii="Arial" w:hAnsi="Arial" w:cs="Arial"/>
          <w:sz w:val="20"/>
          <w:szCs w:val="20"/>
        </w:rPr>
        <w:t xml:space="preserve">elated </w:t>
      </w:r>
      <w:r>
        <w:rPr>
          <w:rFonts w:ascii="Arial" w:hAnsi="Arial" w:cs="Arial"/>
          <w:sz w:val="20"/>
          <w:szCs w:val="20"/>
        </w:rPr>
        <w:t>p</w:t>
      </w:r>
      <w:r w:rsidRPr="5BF33CB0">
        <w:rPr>
          <w:rFonts w:ascii="Arial" w:hAnsi="Arial" w:cs="Arial"/>
          <w:sz w:val="20"/>
          <w:szCs w:val="20"/>
        </w:rPr>
        <w:t>eptide (CGRP) mediates trigeminovascular pain from intracranial vessels to the central nervous system. Stimulation of the trigeminal ganglion induces the release of CGRP, and CGRP infusion can trigger a migraine attack. CGRP inhibitors bind to the CGRP receptor and antagonize CGRP receptor function.</w:t>
      </w:r>
    </w:p>
    <w:p w14:paraId="7ACECC9F" w14:textId="77777777" w:rsidR="00B56DCC" w:rsidRDefault="00B56DCC" w:rsidP="00696E3A"/>
    <w:p w14:paraId="28C91F1C" w14:textId="548F95B5" w:rsidR="00E354AA" w:rsidRDefault="009A0FB1" w:rsidP="009A0FB1">
      <w:r>
        <w:t>Total program savings for the PDL classes will be regularly reviewed.</w:t>
      </w:r>
    </w:p>
    <w:p w14:paraId="05964CF2" w14:textId="77777777" w:rsidR="007A3034" w:rsidRPr="002C2C41" w:rsidRDefault="007A3034" w:rsidP="009A0FB1">
      <w:pPr>
        <w:rPr>
          <w:rFonts w:cs="Arial"/>
          <w:szCs w:val="20"/>
        </w:rPr>
      </w:pPr>
    </w:p>
    <w:p w14:paraId="6CBEE541" w14:textId="3A362043" w:rsidR="00E90D11" w:rsidRDefault="009A0FB1" w:rsidP="00696E3A">
      <w:pPr>
        <w:rPr>
          <w:b/>
          <w:bCs/>
        </w:rPr>
      </w:pPr>
      <w:r>
        <w:rPr>
          <w:b/>
          <w:bCs/>
        </w:rPr>
        <w:t>Preferred Agents:</w:t>
      </w:r>
    </w:p>
    <w:p w14:paraId="2290B58B" w14:textId="77777777" w:rsidR="00476551" w:rsidRPr="00476551" w:rsidRDefault="00476551" w:rsidP="00476551">
      <w:pPr>
        <w:pStyle w:val="ListParagraph"/>
        <w:numPr>
          <w:ilvl w:val="0"/>
          <w:numId w:val="15"/>
        </w:numPr>
        <w:rPr>
          <w:rFonts w:cs="Arial"/>
          <w:spacing w:val="-3"/>
          <w:szCs w:val="20"/>
        </w:rPr>
      </w:pPr>
      <w:r w:rsidRPr="00BE19BC">
        <w:rPr>
          <w:rFonts w:cs="Arial"/>
          <w:szCs w:val="20"/>
        </w:rPr>
        <w:t>Ajovy</w:t>
      </w:r>
      <w:r w:rsidRPr="00BE19BC">
        <w:rPr>
          <w:rFonts w:cs="Arial"/>
          <w:spacing w:val="-3"/>
          <w:szCs w:val="20"/>
          <w:vertAlign w:val="superscript"/>
        </w:rPr>
        <w:t>®</w:t>
      </w:r>
    </w:p>
    <w:p w14:paraId="47320590" w14:textId="3205C62F" w:rsidR="00FD34EA" w:rsidRDefault="00476551" w:rsidP="00476551">
      <w:pPr>
        <w:pStyle w:val="ListParagraph"/>
        <w:numPr>
          <w:ilvl w:val="0"/>
          <w:numId w:val="15"/>
        </w:numPr>
        <w:rPr>
          <w:rFonts w:cs="Arial"/>
          <w:spacing w:val="-3"/>
          <w:szCs w:val="20"/>
        </w:rPr>
      </w:pPr>
      <w:r w:rsidRPr="00476551">
        <w:rPr>
          <w:rFonts w:cs="Arial"/>
          <w:spacing w:val="-3"/>
          <w:szCs w:val="20"/>
        </w:rPr>
        <w:t>Emgality</w:t>
      </w:r>
      <w:r w:rsidRPr="00476551">
        <w:rPr>
          <w:rFonts w:cs="Arial"/>
          <w:spacing w:val="-3"/>
          <w:szCs w:val="20"/>
          <w:vertAlign w:val="superscript"/>
        </w:rPr>
        <w:t>®</w:t>
      </w:r>
      <w:r w:rsidRPr="00476551">
        <w:rPr>
          <w:rFonts w:cs="Arial"/>
          <w:spacing w:val="-3"/>
          <w:szCs w:val="20"/>
        </w:rPr>
        <w:t xml:space="preserve"> 120 mg/mL</w:t>
      </w:r>
    </w:p>
    <w:p w14:paraId="7804C375" w14:textId="77777777" w:rsidR="00476551" w:rsidRPr="00476551" w:rsidRDefault="00476551" w:rsidP="00476551">
      <w:pPr>
        <w:pStyle w:val="ListParagraph"/>
        <w:numPr>
          <w:ilvl w:val="0"/>
          <w:numId w:val="0"/>
        </w:numPr>
        <w:ind w:left="360"/>
        <w:rPr>
          <w:rFonts w:cs="Arial"/>
          <w:spacing w:val="-3"/>
          <w:szCs w:val="20"/>
        </w:rPr>
      </w:pPr>
    </w:p>
    <w:p w14:paraId="56404718" w14:textId="252714AD" w:rsidR="00846FA4" w:rsidRDefault="00846FA4" w:rsidP="00846FA4">
      <w:pPr>
        <w:rPr>
          <w:b/>
          <w:bCs/>
        </w:rPr>
      </w:pPr>
      <w:r>
        <w:rPr>
          <w:b/>
          <w:bCs/>
        </w:rPr>
        <w:t>Non-Preferred Agents:</w:t>
      </w:r>
    </w:p>
    <w:p w14:paraId="35802B54" w14:textId="77777777" w:rsidR="00444AAF" w:rsidRPr="00BE19BC" w:rsidRDefault="00444AAF" w:rsidP="00444AAF">
      <w:pPr>
        <w:pStyle w:val="ListParagraph"/>
        <w:numPr>
          <w:ilvl w:val="0"/>
          <w:numId w:val="15"/>
        </w:numPr>
        <w:rPr>
          <w:rFonts w:cs="Arial"/>
          <w:iCs/>
          <w:spacing w:val="-3"/>
          <w:szCs w:val="20"/>
        </w:rPr>
      </w:pPr>
      <w:r w:rsidRPr="00BE19BC">
        <w:rPr>
          <w:rFonts w:cs="Arial"/>
          <w:iCs/>
          <w:spacing w:val="-3"/>
          <w:szCs w:val="20"/>
        </w:rPr>
        <w:t>Aimovig</w:t>
      </w:r>
      <w:r w:rsidRPr="00BE19BC">
        <w:rPr>
          <w:rFonts w:cs="Arial"/>
          <w:spacing w:val="-3"/>
          <w:szCs w:val="20"/>
          <w:vertAlign w:val="superscript"/>
        </w:rPr>
        <w:t>®</w:t>
      </w:r>
    </w:p>
    <w:p w14:paraId="110B0851" w14:textId="77777777" w:rsidR="00444AAF" w:rsidRDefault="00444AAF" w:rsidP="00444AAF">
      <w:pPr>
        <w:pStyle w:val="Heading5"/>
        <w:numPr>
          <w:ilvl w:val="0"/>
          <w:numId w:val="15"/>
        </w:numPr>
        <w:rPr>
          <w:rFonts w:cs="Arial"/>
          <w:b/>
          <w:bCs w:val="0"/>
        </w:rPr>
      </w:pPr>
      <w:r w:rsidRPr="00BE19BC">
        <w:rPr>
          <w:rFonts w:cs="Arial"/>
          <w:bCs w:val="0"/>
        </w:rPr>
        <w:t>Emgality</w:t>
      </w:r>
      <w:r w:rsidRPr="00BE19BC">
        <w:rPr>
          <w:rFonts w:cs="Arial"/>
          <w:bCs w:val="0"/>
          <w:vertAlign w:val="superscript"/>
        </w:rPr>
        <w:t xml:space="preserve">® </w:t>
      </w:r>
      <w:r w:rsidRPr="00BE19BC">
        <w:rPr>
          <w:rFonts w:cs="Arial"/>
          <w:bCs w:val="0"/>
        </w:rPr>
        <w:t>100</w:t>
      </w:r>
      <w:r>
        <w:rPr>
          <w:rFonts w:cs="Arial"/>
          <w:bCs w:val="0"/>
        </w:rPr>
        <w:t xml:space="preserve"> </w:t>
      </w:r>
      <w:r w:rsidRPr="00BE19BC">
        <w:rPr>
          <w:rFonts w:cs="Arial"/>
          <w:bCs w:val="0"/>
        </w:rPr>
        <w:t>mg/mL</w:t>
      </w:r>
    </w:p>
    <w:p w14:paraId="17B5A51A" w14:textId="77777777" w:rsidR="00444AAF" w:rsidRPr="00444AAF" w:rsidRDefault="00444AAF" w:rsidP="00444AAF">
      <w:pPr>
        <w:pStyle w:val="ListParagraph"/>
        <w:numPr>
          <w:ilvl w:val="0"/>
          <w:numId w:val="15"/>
        </w:numPr>
        <w:rPr>
          <w:rFonts w:cs="Arial"/>
          <w:szCs w:val="20"/>
        </w:rPr>
      </w:pPr>
      <w:r w:rsidRPr="004E2563">
        <w:rPr>
          <w:rFonts w:cs="Arial"/>
          <w:szCs w:val="20"/>
        </w:rPr>
        <w:t>Qulipta</w:t>
      </w:r>
      <w:r w:rsidRPr="00BE19BC">
        <w:rPr>
          <w:rFonts w:cs="Arial"/>
          <w:szCs w:val="20"/>
          <w:vertAlign w:val="superscript"/>
        </w:rPr>
        <w:t>®</w:t>
      </w:r>
    </w:p>
    <w:p w14:paraId="6D696800" w14:textId="55FAF5D4" w:rsidR="00E23EC0" w:rsidRPr="00444AAF" w:rsidRDefault="00444AAF" w:rsidP="00444AAF">
      <w:pPr>
        <w:pStyle w:val="ListParagraph"/>
        <w:numPr>
          <w:ilvl w:val="0"/>
          <w:numId w:val="15"/>
        </w:numPr>
        <w:rPr>
          <w:rFonts w:cs="Arial"/>
          <w:szCs w:val="20"/>
        </w:rPr>
      </w:pPr>
      <w:r w:rsidRPr="00444AAF">
        <w:rPr>
          <w:rFonts w:cs="Arial"/>
          <w:szCs w:val="20"/>
        </w:rPr>
        <w:t>Vyepti</w:t>
      </w:r>
      <w:r w:rsidRPr="00444AAF">
        <w:rPr>
          <w:rFonts w:cs="Arial"/>
          <w:szCs w:val="20"/>
          <w:vertAlign w:val="superscript"/>
        </w:rPr>
        <w:t>®</w:t>
      </w: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6B397CEC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C5146E" w:rsidRPr="00DB6EA7">
        <w:rPr>
          <w:rFonts w:cs="Arial"/>
          <w:szCs w:val="20"/>
        </w:rPr>
        <w:t>Calcitonin Gene-Related Peptide (CGRP) Inhibitors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44A1396B" w14:textId="77777777" w:rsidR="007B7482" w:rsidRPr="005614F8" w:rsidRDefault="007B7482" w:rsidP="007B7482">
      <w:pPr>
        <w:pStyle w:val="ListParagraph"/>
        <w:numPr>
          <w:ilvl w:val="0"/>
          <w:numId w:val="16"/>
        </w:numPr>
        <w:spacing w:line="259" w:lineRule="auto"/>
        <w:rPr>
          <w:rFonts w:cs="Arial"/>
        </w:rPr>
      </w:pPr>
      <w:r>
        <w:rPr>
          <w:rFonts w:cs="Arial"/>
        </w:rPr>
        <w:t xml:space="preserve">Must meet all of the following (except Emgality 100 mg/mL): </w:t>
      </w:r>
    </w:p>
    <w:p w14:paraId="78248BF1" w14:textId="77777777" w:rsidR="007B7482" w:rsidRPr="007F754D" w:rsidRDefault="007B7482" w:rsidP="007B7482">
      <w:pPr>
        <w:pStyle w:val="ListParagraph"/>
        <w:numPr>
          <w:ilvl w:val="1"/>
          <w:numId w:val="16"/>
        </w:numPr>
        <w:rPr>
          <w:rFonts w:cs="Arial"/>
        </w:rPr>
      </w:pPr>
      <w:r w:rsidRPr="007F754D">
        <w:rPr>
          <w:rFonts w:cs="Arial"/>
        </w:rPr>
        <w:t>Documented diagnosis of chronic or episodic migraine</w:t>
      </w:r>
      <w:r>
        <w:rPr>
          <w:rFonts w:cs="Arial"/>
        </w:rPr>
        <w:t>;</w:t>
      </w:r>
      <w:r w:rsidRPr="007F754D">
        <w:rPr>
          <w:rFonts w:cs="Arial"/>
        </w:rPr>
        <w:t xml:space="preserve"> </w:t>
      </w:r>
    </w:p>
    <w:p w14:paraId="2D19A718" w14:textId="77777777" w:rsidR="007B7482" w:rsidRPr="007B7482" w:rsidRDefault="007B7482" w:rsidP="007B7482">
      <w:pPr>
        <w:pStyle w:val="ListParagraph"/>
        <w:numPr>
          <w:ilvl w:val="1"/>
          <w:numId w:val="16"/>
        </w:numPr>
        <w:autoSpaceDE w:val="0"/>
        <w:autoSpaceDN w:val="0"/>
        <w:contextualSpacing w:val="0"/>
        <w:rPr>
          <w:rFonts w:cs="Arial"/>
          <w:szCs w:val="20"/>
        </w:rPr>
      </w:pPr>
      <w:r w:rsidRPr="00303CB0">
        <w:rPr>
          <w:rFonts w:cs="Arial"/>
          <w:szCs w:val="20"/>
        </w:rPr>
        <w:t>Adequate therapeutic trial</w:t>
      </w:r>
      <w:r>
        <w:rPr>
          <w:rFonts w:cs="Arial"/>
          <w:szCs w:val="20"/>
        </w:rPr>
        <w:t xml:space="preserve">, </w:t>
      </w:r>
      <w:r w:rsidRPr="007B7482">
        <w:rPr>
          <w:rFonts w:cs="Arial"/>
          <w:szCs w:val="20"/>
        </w:rPr>
        <w:t>defined as at least 8 weeks, with 2 prophylactic options from 2 different categories of the following:</w:t>
      </w:r>
    </w:p>
    <w:p w14:paraId="4C2C1803" w14:textId="77777777" w:rsidR="007B7482" w:rsidRPr="007B7482" w:rsidRDefault="007B7482" w:rsidP="007B7482">
      <w:pPr>
        <w:pStyle w:val="ListParagraph"/>
        <w:numPr>
          <w:ilvl w:val="2"/>
          <w:numId w:val="16"/>
        </w:numPr>
        <w:autoSpaceDE w:val="0"/>
        <w:autoSpaceDN w:val="0"/>
        <w:contextualSpacing w:val="0"/>
        <w:rPr>
          <w:rFonts w:cs="Arial"/>
          <w:szCs w:val="20"/>
        </w:rPr>
      </w:pPr>
      <w:r w:rsidRPr="007B7482">
        <w:rPr>
          <w:rFonts w:cs="Arial"/>
          <w:szCs w:val="20"/>
        </w:rPr>
        <w:t>Topiramate</w:t>
      </w:r>
    </w:p>
    <w:p w14:paraId="52A21231" w14:textId="77777777" w:rsidR="007B7482" w:rsidRPr="007B7482" w:rsidRDefault="007B7482" w:rsidP="007B7482">
      <w:pPr>
        <w:pStyle w:val="ListParagraph"/>
        <w:numPr>
          <w:ilvl w:val="2"/>
          <w:numId w:val="16"/>
        </w:numPr>
        <w:autoSpaceDE w:val="0"/>
        <w:autoSpaceDN w:val="0"/>
        <w:contextualSpacing w:val="0"/>
        <w:rPr>
          <w:rFonts w:cs="Arial"/>
          <w:szCs w:val="20"/>
        </w:rPr>
      </w:pPr>
      <w:r w:rsidRPr="007B7482">
        <w:rPr>
          <w:rFonts w:cs="Arial"/>
          <w:szCs w:val="20"/>
        </w:rPr>
        <w:t>Divalproex sodium/valproate sodium</w:t>
      </w:r>
    </w:p>
    <w:p w14:paraId="2EA0B93E" w14:textId="77777777" w:rsidR="007B7482" w:rsidRPr="007B7482" w:rsidRDefault="007B7482" w:rsidP="007B7482">
      <w:pPr>
        <w:pStyle w:val="ListParagraph"/>
        <w:numPr>
          <w:ilvl w:val="2"/>
          <w:numId w:val="16"/>
        </w:numPr>
        <w:autoSpaceDE w:val="0"/>
        <w:autoSpaceDN w:val="0"/>
        <w:contextualSpacing w:val="0"/>
        <w:rPr>
          <w:rFonts w:cs="Arial"/>
          <w:szCs w:val="20"/>
          <w:lang w:val="it-IT"/>
        </w:rPr>
      </w:pPr>
      <w:r w:rsidRPr="007B7482">
        <w:rPr>
          <w:rFonts w:cs="Arial"/>
          <w:szCs w:val="20"/>
          <w:lang w:val="it-IT"/>
        </w:rPr>
        <w:t>Beta blocker: metoprolol, propranolol, timolol, atenolol, nadolol</w:t>
      </w:r>
    </w:p>
    <w:p w14:paraId="66EF5863" w14:textId="77777777" w:rsidR="007B7482" w:rsidRPr="007B7482" w:rsidRDefault="007B7482" w:rsidP="007B7482">
      <w:pPr>
        <w:pStyle w:val="ListParagraph"/>
        <w:numPr>
          <w:ilvl w:val="2"/>
          <w:numId w:val="16"/>
        </w:numPr>
        <w:autoSpaceDE w:val="0"/>
        <w:autoSpaceDN w:val="0"/>
        <w:contextualSpacing w:val="0"/>
        <w:rPr>
          <w:rFonts w:cs="Arial"/>
          <w:szCs w:val="20"/>
        </w:rPr>
      </w:pPr>
      <w:r w:rsidRPr="007B7482">
        <w:rPr>
          <w:rFonts w:cs="Arial"/>
          <w:szCs w:val="20"/>
        </w:rPr>
        <w:t>Tricyclic antidepressant: amitriptyline, nortriptyline</w:t>
      </w:r>
    </w:p>
    <w:p w14:paraId="071EB824" w14:textId="77777777" w:rsidR="007B7482" w:rsidRPr="007B7482" w:rsidRDefault="007B7482" w:rsidP="007B7482">
      <w:pPr>
        <w:pStyle w:val="ListParagraph"/>
        <w:numPr>
          <w:ilvl w:val="2"/>
          <w:numId w:val="16"/>
        </w:numPr>
        <w:autoSpaceDE w:val="0"/>
        <w:autoSpaceDN w:val="0"/>
        <w:contextualSpacing w:val="0"/>
        <w:rPr>
          <w:rFonts w:cs="Arial"/>
          <w:szCs w:val="20"/>
        </w:rPr>
      </w:pPr>
      <w:r w:rsidRPr="007B7482">
        <w:rPr>
          <w:rFonts w:cs="Arial"/>
          <w:szCs w:val="20"/>
        </w:rPr>
        <w:lastRenderedPageBreak/>
        <w:t>Serotonin-norepinephrine reuptake inhibitor: venlafaxine, duloxetine;</w:t>
      </w:r>
    </w:p>
    <w:p w14:paraId="408AFF51" w14:textId="77777777" w:rsidR="007B7482" w:rsidRPr="000B69C0" w:rsidRDefault="007B7482" w:rsidP="007B7482">
      <w:pPr>
        <w:pStyle w:val="ListParagraph"/>
        <w:numPr>
          <w:ilvl w:val="1"/>
          <w:numId w:val="16"/>
        </w:numPr>
        <w:spacing w:line="259" w:lineRule="auto"/>
        <w:rPr>
          <w:rFonts w:cs="Arial"/>
        </w:rPr>
      </w:pPr>
      <w:r>
        <w:rPr>
          <w:rFonts w:cs="Arial"/>
        </w:rPr>
        <w:t xml:space="preserve">History of </w:t>
      </w:r>
      <w:r w:rsidRPr="000B69C0">
        <w:rPr>
          <w:rFonts w:cs="Arial"/>
        </w:rPr>
        <w:t>≥ 4 migraines per month</w:t>
      </w:r>
      <w:r>
        <w:rPr>
          <w:rFonts w:cs="Arial"/>
        </w:rPr>
        <w:t xml:space="preserve">; </w:t>
      </w:r>
      <w:r>
        <w:rPr>
          <w:rFonts w:cs="Arial"/>
          <w:b/>
          <w:bCs/>
        </w:rPr>
        <w:t>AND</w:t>
      </w:r>
    </w:p>
    <w:p w14:paraId="2F718FC8" w14:textId="77777777" w:rsidR="007B7482" w:rsidRDefault="007B7482" w:rsidP="007B7482">
      <w:pPr>
        <w:pStyle w:val="ListParagraph"/>
        <w:numPr>
          <w:ilvl w:val="1"/>
          <w:numId w:val="16"/>
        </w:numPr>
        <w:spacing w:line="259" w:lineRule="auto"/>
        <w:rPr>
          <w:rFonts w:cs="Arial"/>
        </w:rPr>
      </w:pPr>
      <w:r>
        <w:rPr>
          <w:rFonts w:cs="Arial"/>
        </w:rPr>
        <w:t>Must meet one of the following:</w:t>
      </w:r>
    </w:p>
    <w:p w14:paraId="32A5BED4" w14:textId="77777777" w:rsidR="007B7482" w:rsidRPr="006A0445" w:rsidRDefault="007B7482" w:rsidP="007B7482">
      <w:pPr>
        <w:pStyle w:val="ListParagraph"/>
        <w:numPr>
          <w:ilvl w:val="2"/>
          <w:numId w:val="16"/>
        </w:numPr>
        <w:spacing w:line="259" w:lineRule="auto"/>
        <w:rPr>
          <w:rFonts w:cs="Arial"/>
        </w:rPr>
      </w:pPr>
      <w:r>
        <w:rPr>
          <w:rFonts w:cs="Arial"/>
        </w:rPr>
        <w:t xml:space="preserve">Claim is for a preferred agent; </w:t>
      </w:r>
      <w:r>
        <w:rPr>
          <w:rFonts w:cs="Arial"/>
          <w:b/>
          <w:bCs/>
        </w:rPr>
        <w:t>OR</w:t>
      </w:r>
    </w:p>
    <w:p w14:paraId="1B969652" w14:textId="77777777" w:rsidR="007B7482" w:rsidRDefault="007B7482" w:rsidP="007B7482">
      <w:pPr>
        <w:pStyle w:val="ListParagraph"/>
        <w:numPr>
          <w:ilvl w:val="2"/>
          <w:numId w:val="16"/>
        </w:numPr>
        <w:spacing w:line="259" w:lineRule="auto"/>
        <w:rPr>
          <w:rFonts w:cs="Arial"/>
        </w:rPr>
      </w:pPr>
      <w:r>
        <w:rPr>
          <w:rFonts w:cs="Arial"/>
        </w:rPr>
        <w:t xml:space="preserve">Failure to achieve desired therapeutic outcomes </w:t>
      </w:r>
      <w:r w:rsidRPr="003D4EFE">
        <w:rPr>
          <w:rFonts w:cs="Arial"/>
        </w:rPr>
        <w:t>with trial on 2 or more preferred agents</w:t>
      </w:r>
      <w:r>
        <w:rPr>
          <w:rFonts w:cs="Arial"/>
        </w:rPr>
        <w:t>;</w:t>
      </w:r>
    </w:p>
    <w:p w14:paraId="7B119051" w14:textId="77777777" w:rsidR="007B7482" w:rsidRDefault="007B7482" w:rsidP="007B7482">
      <w:pPr>
        <w:pStyle w:val="ListParagraph"/>
        <w:numPr>
          <w:ilvl w:val="3"/>
          <w:numId w:val="16"/>
        </w:numPr>
        <w:tabs>
          <w:tab w:val="clear" w:pos="2520"/>
          <w:tab w:val="num" w:pos="1440"/>
        </w:tabs>
        <w:spacing w:line="259" w:lineRule="auto"/>
        <w:ind w:left="1440"/>
        <w:rPr>
          <w:rFonts w:cs="Arial"/>
        </w:rPr>
      </w:pPr>
      <w:r>
        <w:rPr>
          <w:rFonts w:cs="Arial"/>
        </w:rPr>
        <w:t xml:space="preserve">Documented trial period of preferred agents; </w:t>
      </w:r>
      <w:r>
        <w:rPr>
          <w:rFonts w:cs="Arial"/>
          <w:b/>
          <w:bCs/>
        </w:rPr>
        <w:t>OR</w:t>
      </w:r>
    </w:p>
    <w:p w14:paraId="6BDA6D08" w14:textId="77777777" w:rsidR="007B7482" w:rsidRPr="00CE7620" w:rsidRDefault="007B7482" w:rsidP="007B7482">
      <w:pPr>
        <w:pStyle w:val="ListParagraph"/>
        <w:numPr>
          <w:ilvl w:val="3"/>
          <w:numId w:val="16"/>
        </w:numPr>
        <w:tabs>
          <w:tab w:val="clear" w:pos="2520"/>
          <w:tab w:val="num" w:pos="1440"/>
        </w:tabs>
        <w:spacing w:line="259" w:lineRule="auto"/>
        <w:ind w:left="1440"/>
        <w:rPr>
          <w:rFonts w:cs="Arial"/>
        </w:rPr>
      </w:pPr>
      <w:r w:rsidRPr="00C84EA3">
        <w:rPr>
          <w:rFonts w:cs="Arial"/>
        </w:rPr>
        <w:t xml:space="preserve">Documented ADE/ADR to preferred agents </w:t>
      </w:r>
    </w:p>
    <w:p w14:paraId="3595C49E" w14:textId="77777777" w:rsidR="007B7482" w:rsidRDefault="007B7482" w:rsidP="007B7482">
      <w:pPr>
        <w:pStyle w:val="ListParagraph"/>
        <w:numPr>
          <w:ilvl w:val="0"/>
          <w:numId w:val="16"/>
        </w:numPr>
        <w:spacing w:line="259" w:lineRule="auto"/>
        <w:rPr>
          <w:rFonts w:cs="Arial"/>
        </w:rPr>
      </w:pPr>
      <w:r>
        <w:rPr>
          <w:rFonts w:cs="Arial"/>
        </w:rPr>
        <w:t xml:space="preserve">Approval criteria for Emgality 100 mg/mL – must meet all of the following: </w:t>
      </w:r>
    </w:p>
    <w:p w14:paraId="4DA4ACDA" w14:textId="77777777" w:rsidR="007B7482" w:rsidRPr="00C84EA3" w:rsidRDefault="007B7482" w:rsidP="007B7482">
      <w:pPr>
        <w:pStyle w:val="ListParagraph"/>
        <w:numPr>
          <w:ilvl w:val="0"/>
          <w:numId w:val="17"/>
        </w:numPr>
        <w:spacing w:line="259" w:lineRule="auto"/>
        <w:ind w:left="720"/>
        <w:rPr>
          <w:rFonts w:cs="Arial"/>
        </w:rPr>
      </w:pPr>
      <w:r>
        <w:rPr>
          <w:rFonts w:cs="Arial"/>
        </w:rPr>
        <w:t xml:space="preserve">Documented diagnosis </w:t>
      </w:r>
      <w:r w:rsidRPr="000B69C0">
        <w:rPr>
          <w:rFonts w:cs="Arial"/>
        </w:rPr>
        <w:t>of episodic cluster headache</w:t>
      </w:r>
      <w:r>
        <w:rPr>
          <w:rFonts w:cs="Arial"/>
        </w:rPr>
        <w:t xml:space="preserve">; </w:t>
      </w:r>
      <w:r>
        <w:rPr>
          <w:rFonts w:cs="Arial"/>
          <w:b/>
          <w:bCs/>
        </w:rPr>
        <w:t>AND</w:t>
      </w:r>
    </w:p>
    <w:p w14:paraId="4187FDAA" w14:textId="77777777" w:rsidR="007B7482" w:rsidRDefault="007B7482" w:rsidP="007B7482">
      <w:pPr>
        <w:pStyle w:val="ListParagraph"/>
        <w:numPr>
          <w:ilvl w:val="0"/>
          <w:numId w:val="17"/>
        </w:numPr>
        <w:spacing w:line="259" w:lineRule="auto"/>
        <w:ind w:left="720"/>
        <w:rPr>
          <w:rFonts w:cs="Arial"/>
        </w:rPr>
      </w:pPr>
      <w:r w:rsidRPr="00C84EA3">
        <w:rPr>
          <w:rFonts w:cs="Arial"/>
        </w:rPr>
        <w:t>Therapeutic trial of verapamil AND topiramate (60/90 days for each)</w:t>
      </w:r>
      <w:r>
        <w:rPr>
          <w:rFonts w:cs="Arial"/>
        </w:rPr>
        <w:t>.</w:t>
      </w:r>
    </w:p>
    <w:p w14:paraId="191B2DC4" w14:textId="77777777" w:rsidR="007B7482" w:rsidRPr="007B7482" w:rsidRDefault="007B7482" w:rsidP="007B7482">
      <w:pPr>
        <w:pStyle w:val="ListParagraph"/>
        <w:numPr>
          <w:ilvl w:val="0"/>
          <w:numId w:val="16"/>
        </w:numPr>
        <w:spacing w:line="259" w:lineRule="auto"/>
        <w:rPr>
          <w:rFonts w:cs="Arial"/>
        </w:rPr>
      </w:pPr>
      <w:r w:rsidRPr="007B7482">
        <w:rPr>
          <w:rFonts w:cs="Arial"/>
          <w:szCs w:val="20"/>
        </w:rPr>
        <w:t xml:space="preserve">Additional approval criteria for CGRP inhibitor therapy with concurrent Botox therapy for migraines – </w:t>
      </w:r>
      <w:r w:rsidRPr="007B7482">
        <w:rPr>
          <w:rFonts w:cs="Arial"/>
        </w:rPr>
        <w:t>must meet all of the following:</w:t>
      </w:r>
    </w:p>
    <w:p w14:paraId="42B764DC" w14:textId="77777777" w:rsidR="007B7482" w:rsidRPr="007B7482" w:rsidRDefault="007B7482" w:rsidP="007B7482">
      <w:pPr>
        <w:pStyle w:val="ListParagraph"/>
        <w:numPr>
          <w:ilvl w:val="1"/>
          <w:numId w:val="16"/>
        </w:numPr>
        <w:rPr>
          <w:rFonts w:cs="Arial"/>
          <w:szCs w:val="20"/>
        </w:rPr>
      </w:pPr>
      <w:r w:rsidRPr="007B7482">
        <w:rPr>
          <w:rFonts w:cs="Arial"/>
        </w:rPr>
        <w:t xml:space="preserve">Failure to achieve desired therapeutic outcomes with trial on 2 or more CGRP inhibitor agents in the past 12 months; </w:t>
      </w:r>
      <w:r w:rsidRPr="00622B1D">
        <w:rPr>
          <w:rFonts w:cs="Arial"/>
          <w:b/>
          <w:bCs/>
        </w:rPr>
        <w:t>AND</w:t>
      </w:r>
    </w:p>
    <w:p w14:paraId="10A52FA8" w14:textId="77777777" w:rsidR="007B7482" w:rsidRPr="007B7482" w:rsidRDefault="007B7482" w:rsidP="007B7482">
      <w:pPr>
        <w:pStyle w:val="ListParagraph"/>
        <w:numPr>
          <w:ilvl w:val="1"/>
          <w:numId w:val="16"/>
        </w:numPr>
        <w:rPr>
          <w:rFonts w:cs="Arial"/>
          <w:szCs w:val="20"/>
        </w:rPr>
      </w:pPr>
      <w:r w:rsidRPr="007B7482">
        <w:rPr>
          <w:rFonts w:cs="Arial"/>
        </w:rPr>
        <w:t>Documented history of 4 or more migraines per month or severe headaches causing impaired function, despite stable monotherapy regimens with both a CGRP inhibitor and Botox alone.</w:t>
      </w:r>
    </w:p>
    <w:p w14:paraId="395D4F9D" w14:textId="77777777" w:rsidR="0071196A" w:rsidRDefault="007B7482" w:rsidP="008166D2">
      <w:pPr>
        <w:pStyle w:val="ListParagraph"/>
        <w:numPr>
          <w:ilvl w:val="0"/>
          <w:numId w:val="18"/>
        </w:numPr>
        <w:spacing w:line="259" w:lineRule="auto"/>
        <w:rPr>
          <w:rFonts w:cs="Arial"/>
          <w:szCs w:val="20"/>
        </w:rPr>
      </w:pPr>
      <w:r w:rsidRPr="0071196A">
        <w:rPr>
          <w:rFonts w:cs="Arial"/>
          <w:szCs w:val="20"/>
        </w:rPr>
        <w:t xml:space="preserve">Criteria for Botox are listed in the Botulinum Toxin Clinical Edit </w:t>
      </w:r>
      <w:r w:rsidR="0071196A" w:rsidRPr="0071196A">
        <w:rPr>
          <w:rFonts w:cs="Arial"/>
          <w:szCs w:val="20"/>
        </w:rPr>
        <w:t xml:space="preserve">can be found here: </w:t>
      </w:r>
      <w:hyperlink r:id="rId11" w:tooltip="Pharmacy Clinical Edits and Preferred Drug Lists | mydss.mo.gov" w:history="1">
        <w:r w:rsidR="0071196A" w:rsidRPr="0071196A">
          <w:rPr>
            <w:rStyle w:val="Hyperlink"/>
            <w:rFonts w:cs="Arial"/>
            <w:szCs w:val="20"/>
          </w:rPr>
          <w:t>Pharmacy Clinical Edits and Preferred Drug Lists | mydss.mo.gov</w:t>
        </w:r>
      </w:hyperlink>
    </w:p>
    <w:p w14:paraId="0B0C0D72" w14:textId="210AE0C3" w:rsidR="005328B2" w:rsidRPr="0071196A" w:rsidRDefault="0071196A" w:rsidP="0071196A">
      <w:pPr>
        <w:pStyle w:val="ListParagraph"/>
        <w:numPr>
          <w:ilvl w:val="0"/>
          <w:numId w:val="0"/>
        </w:numPr>
        <w:spacing w:line="259" w:lineRule="auto"/>
        <w:ind w:left="720"/>
        <w:rPr>
          <w:rFonts w:cs="Arial"/>
          <w:szCs w:val="20"/>
        </w:rPr>
      </w:pPr>
      <w:r w:rsidRPr="0071196A">
        <w:rPr>
          <w:rFonts w:cs="Arial"/>
          <w:szCs w:val="20"/>
        </w:rPr>
        <w:t xml:space="preserve"> </w:t>
      </w: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5075C3A8" w14:textId="77777777" w:rsidR="003C4C3B" w:rsidRDefault="003C4C3B" w:rsidP="003C4C3B">
      <w:pPr>
        <w:numPr>
          <w:ilvl w:val="0"/>
          <w:numId w:val="19"/>
        </w:num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Therapy will deny with the presence of one of the following:</w:t>
      </w:r>
    </w:p>
    <w:p w14:paraId="50DFD1E2" w14:textId="77777777" w:rsidR="003C4C3B" w:rsidRDefault="003C4C3B" w:rsidP="003C4C3B">
      <w:pPr>
        <w:numPr>
          <w:ilvl w:val="1"/>
          <w:numId w:val="19"/>
        </w:numPr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Any approval criteria are not met; </w:t>
      </w:r>
      <w:r w:rsidRPr="0064728D">
        <w:rPr>
          <w:rFonts w:cs="Arial"/>
          <w:b/>
          <w:szCs w:val="20"/>
        </w:rPr>
        <w:t>OR</w:t>
      </w:r>
    </w:p>
    <w:p w14:paraId="14C63576" w14:textId="77777777" w:rsidR="003C4C3B" w:rsidRPr="00BE19BC" w:rsidRDefault="003C4C3B" w:rsidP="003C4C3B">
      <w:pPr>
        <w:numPr>
          <w:ilvl w:val="1"/>
          <w:numId w:val="19"/>
        </w:numPr>
        <w:rPr>
          <w:rFonts w:cs="Arial"/>
          <w:szCs w:val="20"/>
        </w:rPr>
      </w:pPr>
      <w:r w:rsidRPr="00BE19BC">
        <w:rPr>
          <w:rFonts w:cs="Arial"/>
          <w:szCs w:val="20"/>
        </w:rPr>
        <w:t>Claim exceeds maximum dosing limitations on the following: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3955"/>
        <w:gridCol w:w="2700"/>
        <w:gridCol w:w="2695"/>
      </w:tblGrid>
      <w:tr w:rsidR="00904D7A" w:rsidRPr="00C02553" w14:paraId="1F6DE132" w14:textId="77777777" w:rsidTr="00DF4E19">
        <w:trPr>
          <w:trHeight w:val="276"/>
        </w:trPr>
        <w:tc>
          <w:tcPr>
            <w:tcW w:w="3955" w:type="dxa"/>
            <w:shd w:val="clear" w:color="auto" w:fill="FABF8F"/>
          </w:tcPr>
          <w:p w14:paraId="61F61DB2" w14:textId="77777777" w:rsidR="00904D7A" w:rsidRPr="00C02553" w:rsidRDefault="00904D7A" w:rsidP="0049359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C02553">
              <w:rPr>
                <w:rFonts w:cs="Arial"/>
                <w:b/>
                <w:bCs/>
                <w:szCs w:val="20"/>
              </w:rPr>
              <w:t>Drug Description</w:t>
            </w:r>
          </w:p>
        </w:tc>
        <w:tc>
          <w:tcPr>
            <w:tcW w:w="2700" w:type="dxa"/>
            <w:shd w:val="clear" w:color="auto" w:fill="FABF8F"/>
          </w:tcPr>
          <w:p w14:paraId="39DE15A6" w14:textId="77777777" w:rsidR="00904D7A" w:rsidRPr="00C02553" w:rsidRDefault="00904D7A" w:rsidP="0049359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C02553">
              <w:rPr>
                <w:rFonts w:cs="Arial"/>
                <w:b/>
                <w:bCs/>
                <w:szCs w:val="20"/>
              </w:rPr>
              <w:t>Generic Equivalent</w:t>
            </w:r>
          </w:p>
        </w:tc>
        <w:tc>
          <w:tcPr>
            <w:tcW w:w="2695" w:type="dxa"/>
            <w:shd w:val="clear" w:color="auto" w:fill="FABF8F"/>
          </w:tcPr>
          <w:p w14:paraId="17F14EEF" w14:textId="77777777" w:rsidR="00904D7A" w:rsidRPr="00C02553" w:rsidRDefault="00904D7A" w:rsidP="0049359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C02553">
              <w:rPr>
                <w:rFonts w:cs="Arial"/>
                <w:b/>
                <w:bCs/>
                <w:szCs w:val="20"/>
              </w:rPr>
              <w:t>Max Dosing Limitation</w:t>
            </w:r>
          </w:p>
        </w:tc>
      </w:tr>
      <w:tr w:rsidR="00DF4E19" w:rsidRPr="00C02553" w14:paraId="05C5E883" w14:textId="77777777" w:rsidTr="00DF4E19">
        <w:trPr>
          <w:trHeight w:val="276"/>
        </w:trPr>
        <w:tc>
          <w:tcPr>
            <w:tcW w:w="3955" w:type="dxa"/>
            <w:vAlign w:val="center"/>
          </w:tcPr>
          <w:p w14:paraId="556501BF" w14:textId="59F382DC" w:rsidR="00DF4E19" w:rsidRPr="00F730BA" w:rsidRDefault="00DF4E19" w:rsidP="00DF4E19">
            <w:pPr>
              <w:rPr>
                <w:rFonts w:cs="Arial"/>
                <w:szCs w:val="20"/>
              </w:rPr>
            </w:pPr>
            <w:r w:rsidRPr="00BE19BC">
              <w:rPr>
                <w:rFonts w:cs="Arial"/>
                <w:caps/>
                <w:szCs w:val="20"/>
              </w:rPr>
              <w:t>aimovig 140 mg/ml autoinjector</w:t>
            </w:r>
          </w:p>
        </w:tc>
        <w:tc>
          <w:tcPr>
            <w:tcW w:w="2700" w:type="dxa"/>
            <w:vAlign w:val="center"/>
          </w:tcPr>
          <w:p w14:paraId="1F00DA46" w14:textId="3144585E" w:rsidR="00DF4E19" w:rsidRPr="00F730BA" w:rsidRDefault="00DF4E19" w:rsidP="00DF4E19">
            <w:pPr>
              <w:rPr>
                <w:rFonts w:cs="Arial"/>
                <w:caps/>
                <w:szCs w:val="20"/>
              </w:rPr>
            </w:pPr>
            <w:r w:rsidRPr="00BE19BC">
              <w:rPr>
                <w:rFonts w:cs="Arial"/>
                <w:caps/>
                <w:szCs w:val="20"/>
              </w:rPr>
              <w:t>erenumab</w:t>
            </w:r>
          </w:p>
        </w:tc>
        <w:tc>
          <w:tcPr>
            <w:tcW w:w="2695" w:type="dxa"/>
            <w:vAlign w:val="center"/>
          </w:tcPr>
          <w:p w14:paraId="7EC279C1" w14:textId="40139B34" w:rsidR="00DF4E19" w:rsidRPr="00F730BA" w:rsidRDefault="00DF4E19" w:rsidP="00DF4E19">
            <w:pPr>
              <w:rPr>
                <w:rFonts w:cs="Arial"/>
                <w:szCs w:val="20"/>
              </w:rPr>
            </w:pPr>
            <w:r w:rsidRPr="00BE19BC">
              <w:rPr>
                <w:rFonts w:cs="Arial"/>
                <w:szCs w:val="20"/>
              </w:rPr>
              <w:t>1 autoinjector per 20 days</w:t>
            </w:r>
          </w:p>
        </w:tc>
      </w:tr>
      <w:tr w:rsidR="00DF4E19" w:rsidRPr="00C02553" w14:paraId="14487107" w14:textId="77777777" w:rsidTr="00DF4E19">
        <w:trPr>
          <w:trHeight w:val="276"/>
        </w:trPr>
        <w:tc>
          <w:tcPr>
            <w:tcW w:w="3955" w:type="dxa"/>
            <w:vAlign w:val="center"/>
          </w:tcPr>
          <w:p w14:paraId="0AD38613" w14:textId="3A24D44A" w:rsidR="00DF4E19" w:rsidRPr="00BE19BC" w:rsidRDefault="00DF4E19" w:rsidP="00DF4E19">
            <w:pPr>
              <w:rPr>
                <w:rFonts w:cs="Arial"/>
                <w:caps/>
                <w:szCs w:val="20"/>
              </w:rPr>
            </w:pPr>
            <w:r w:rsidRPr="00BE19BC">
              <w:rPr>
                <w:rFonts w:cs="Arial"/>
                <w:caps/>
                <w:szCs w:val="20"/>
              </w:rPr>
              <w:t>aimovig 70 mg/ml autoinjector</w:t>
            </w:r>
          </w:p>
        </w:tc>
        <w:tc>
          <w:tcPr>
            <w:tcW w:w="2700" w:type="dxa"/>
            <w:vAlign w:val="center"/>
          </w:tcPr>
          <w:p w14:paraId="6FCB2D6A" w14:textId="31F0DDF2" w:rsidR="00DF4E19" w:rsidRPr="00BE19BC" w:rsidRDefault="00DF4E19" w:rsidP="00DF4E19">
            <w:pPr>
              <w:rPr>
                <w:rFonts w:cs="Arial"/>
                <w:caps/>
                <w:szCs w:val="20"/>
              </w:rPr>
            </w:pPr>
            <w:r w:rsidRPr="00BE19BC">
              <w:rPr>
                <w:rFonts w:cs="Arial"/>
                <w:caps/>
                <w:szCs w:val="20"/>
              </w:rPr>
              <w:t>erenumab</w:t>
            </w:r>
          </w:p>
        </w:tc>
        <w:tc>
          <w:tcPr>
            <w:tcW w:w="2695" w:type="dxa"/>
            <w:vAlign w:val="center"/>
          </w:tcPr>
          <w:p w14:paraId="609A2348" w14:textId="007F5633" w:rsidR="00DF4E19" w:rsidRPr="00BE19BC" w:rsidRDefault="00DF4E19" w:rsidP="00DF4E19">
            <w:pPr>
              <w:rPr>
                <w:rFonts w:cs="Arial"/>
                <w:szCs w:val="20"/>
              </w:rPr>
            </w:pPr>
            <w:r w:rsidRPr="00BE19BC">
              <w:rPr>
                <w:rFonts w:cs="Arial"/>
                <w:szCs w:val="20"/>
              </w:rPr>
              <w:t>1 autoinjector per 20 days</w:t>
            </w:r>
          </w:p>
        </w:tc>
      </w:tr>
      <w:tr w:rsidR="00DF4E19" w:rsidRPr="00C02553" w14:paraId="745ED06D" w14:textId="77777777" w:rsidTr="00DF4E19">
        <w:trPr>
          <w:trHeight w:val="276"/>
        </w:trPr>
        <w:tc>
          <w:tcPr>
            <w:tcW w:w="3955" w:type="dxa"/>
            <w:vAlign w:val="center"/>
          </w:tcPr>
          <w:p w14:paraId="642E28DD" w14:textId="746ED084" w:rsidR="00DF4E19" w:rsidRPr="00BE19BC" w:rsidRDefault="00DF4E19" w:rsidP="00DF4E19">
            <w:pPr>
              <w:rPr>
                <w:rFonts w:cs="Arial"/>
                <w:caps/>
                <w:szCs w:val="20"/>
              </w:rPr>
            </w:pPr>
            <w:r w:rsidRPr="00BE19BC">
              <w:rPr>
                <w:rFonts w:cs="Arial"/>
                <w:caps/>
                <w:szCs w:val="20"/>
              </w:rPr>
              <w:t>ajovy 225 mg/1.5 ml autoinjector</w:t>
            </w:r>
          </w:p>
        </w:tc>
        <w:tc>
          <w:tcPr>
            <w:tcW w:w="2700" w:type="dxa"/>
            <w:vAlign w:val="center"/>
          </w:tcPr>
          <w:p w14:paraId="59E28D89" w14:textId="5A425FF2" w:rsidR="00DF4E19" w:rsidRPr="00BE19BC" w:rsidRDefault="00DF4E19" w:rsidP="00DF4E19">
            <w:pPr>
              <w:rPr>
                <w:rFonts w:cs="Arial"/>
                <w:caps/>
                <w:szCs w:val="20"/>
              </w:rPr>
            </w:pPr>
            <w:r w:rsidRPr="00BE19BC">
              <w:rPr>
                <w:rFonts w:cs="Arial"/>
                <w:caps/>
                <w:szCs w:val="20"/>
              </w:rPr>
              <w:t>fremanezumab</w:t>
            </w:r>
          </w:p>
        </w:tc>
        <w:tc>
          <w:tcPr>
            <w:tcW w:w="2695" w:type="dxa"/>
            <w:vAlign w:val="center"/>
          </w:tcPr>
          <w:p w14:paraId="635CA625" w14:textId="3F67BAD4" w:rsidR="00DF4E19" w:rsidRPr="00BE19BC" w:rsidRDefault="00DF4E19" w:rsidP="00DF4E19">
            <w:pPr>
              <w:rPr>
                <w:rFonts w:cs="Arial"/>
                <w:szCs w:val="20"/>
              </w:rPr>
            </w:pPr>
            <w:r w:rsidRPr="00BE19BC">
              <w:rPr>
                <w:rFonts w:cs="Arial"/>
                <w:szCs w:val="20"/>
              </w:rPr>
              <w:t>3 autoinjectors per 76 days</w:t>
            </w:r>
          </w:p>
        </w:tc>
      </w:tr>
      <w:tr w:rsidR="00DF4E19" w:rsidRPr="00C02553" w14:paraId="5ADAFD7A" w14:textId="77777777" w:rsidTr="00DF4E19">
        <w:trPr>
          <w:trHeight w:val="276"/>
        </w:trPr>
        <w:tc>
          <w:tcPr>
            <w:tcW w:w="3955" w:type="dxa"/>
            <w:vAlign w:val="center"/>
          </w:tcPr>
          <w:p w14:paraId="28E0F7AD" w14:textId="1E3B1773" w:rsidR="00DF4E19" w:rsidRPr="00BE19BC" w:rsidRDefault="00DF4E19" w:rsidP="00DF4E19">
            <w:pPr>
              <w:rPr>
                <w:rFonts w:cs="Arial"/>
                <w:caps/>
                <w:szCs w:val="20"/>
              </w:rPr>
            </w:pPr>
            <w:r w:rsidRPr="00BE19BC">
              <w:rPr>
                <w:rFonts w:cs="Arial"/>
                <w:caps/>
                <w:szCs w:val="20"/>
              </w:rPr>
              <w:t>ajovy 225 mg/1.5 ml syringe</w:t>
            </w:r>
          </w:p>
        </w:tc>
        <w:tc>
          <w:tcPr>
            <w:tcW w:w="2700" w:type="dxa"/>
            <w:vAlign w:val="center"/>
          </w:tcPr>
          <w:p w14:paraId="598A771F" w14:textId="5BFF605B" w:rsidR="00DF4E19" w:rsidRPr="00BE19BC" w:rsidRDefault="00DF4E19" w:rsidP="00DF4E19">
            <w:pPr>
              <w:rPr>
                <w:rFonts w:cs="Arial"/>
                <w:caps/>
                <w:szCs w:val="20"/>
              </w:rPr>
            </w:pPr>
            <w:r w:rsidRPr="00BE19BC">
              <w:rPr>
                <w:rFonts w:cs="Arial"/>
                <w:caps/>
                <w:szCs w:val="20"/>
              </w:rPr>
              <w:t>fremanezumab</w:t>
            </w:r>
          </w:p>
        </w:tc>
        <w:tc>
          <w:tcPr>
            <w:tcW w:w="2695" w:type="dxa"/>
            <w:vAlign w:val="center"/>
          </w:tcPr>
          <w:p w14:paraId="3008C0D8" w14:textId="6F206B22" w:rsidR="00DF4E19" w:rsidRPr="00BE19BC" w:rsidRDefault="00DF4E19" w:rsidP="00DF4E19">
            <w:pPr>
              <w:rPr>
                <w:rFonts w:cs="Arial"/>
                <w:szCs w:val="20"/>
              </w:rPr>
            </w:pPr>
            <w:r w:rsidRPr="00BE19BC">
              <w:rPr>
                <w:rFonts w:cs="Arial"/>
                <w:szCs w:val="20"/>
              </w:rPr>
              <w:t>3 syringes per 76 days</w:t>
            </w:r>
          </w:p>
        </w:tc>
      </w:tr>
      <w:tr w:rsidR="00DF4E19" w:rsidRPr="00C02553" w14:paraId="72E51DA9" w14:textId="77777777" w:rsidTr="00DF4E19">
        <w:trPr>
          <w:trHeight w:val="276"/>
        </w:trPr>
        <w:tc>
          <w:tcPr>
            <w:tcW w:w="3955" w:type="dxa"/>
            <w:vAlign w:val="center"/>
          </w:tcPr>
          <w:p w14:paraId="6A408894" w14:textId="5AAFCEA9" w:rsidR="00DF4E19" w:rsidRPr="00BE19BC" w:rsidRDefault="00DF4E19" w:rsidP="00DF4E19">
            <w:pPr>
              <w:rPr>
                <w:rFonts w:cs="Arial"/>
                <w:caps/>
                <w:szCs w:val="20"/>
              </w:rPr>
            </w:pPr>
            <w:r w:rsidRPr="00BE19BC">
              <w:rPr>
                <w:rFonts w:cs="Arial"/>
                <w:caps/>
                <w:szCs w:val="20"/>
              </w:rPr>
              <w:t>EMGALITY 100 MG/ML SYRINGE</w:t>
            </w:r>
          </w:p>
        </w:tc>
        <w:tc>
          <w:tcPr>
            <w:tcW w:w="2700" w:type="dxa"/>
            <w:vAlign w:val="center"/>
          </w:tcPr>
          <w:p w14:paraId="48C48628" w14:textId="25980363" w:rsidR="00DF4E19" w:rsidRPr="00BE19BC" w:rsidRDefault="00DF4E19" w:rsidP="00DF4E19">
            <w:pPr>
              <w:rPr>
                <w:rFonts w:cs="Arial"/>
                <w:caps/>
                <w:szCs w:val="20"/>
              </w:rPr>
            </w:pPr>
            <w:r w:rsidRPr="00BE19BC">
              <w:rPr>
                <w:rFonts w:cs="Arial"/>
                <w:caps/>
                <w:szCs w:val="20"/>
              </w:rPr>
              <w:t>GALCANEZUMAB</w:t>
            </w:r>
          </w:p>
        </w:tc>
        <w:tc>
          <w:tcPr>
            <w:tcW w:w="2695" w:type="dxa"/>
            <w:vAlign w:val="center"/>
          </w:tcPr>
          <w:p w14:paraId="365B980E" w14:textId="53C6A636" w:rsidR="00DF4E19" w:rsidRPr="00BE19BC" w:rsidRDefault="00DF4E19" w:rsidP="00DF4E19">
            <w:pPr>
              <w:rPr>
                <w:rFonts w:cs="Arial"/>
                <w:szCs w:val="20"/>
              </w:rPr>
            </w:pPr>
            <w:r w:rsidRPr="00BE19BC">
              <w:rPr>
                <w:rFonts w:cs="Arial"/>
                <w:szCs w:val="20"/>
              </w:rPr>
              <w:t>3 syringes per 20 days</w:t>
            </w:r>
          </w:p>
        </w:tc>
      </w:tr>
      <w:tr w:rsidR="00DF4E19" w:rsidRPr="00C02553" w14:paraId="69F538C1" w14:textId="77777777" w:rsidTr="00DF4E19">
        <w:trPr>
          <w:trHeight w:val="276"/>
        </w:trPr>
        <w:tc>
          <w:tcPr>
            <w:tcW w:w="3955" w:type="dxa"/>
            <w:vAlign w:val="center"/>
          </w:tcPr>
          <w:p w14:paraId="4D0B895D" w14:textId="7F8F21EC" w:rsidR="00DF4E19" w:rsidRPr="00BE19BC" w:rsidRDefault="00DF4E19" w:rsidP="00DF4E19">
            <w:pPr>
              <w:rPr>
                <w:rFonts w:cs="Arial"/>
                <w:caps/>
                <w:szCs w:val="20"/>
              </w:rPr>
            </w:pPr>
            <w:r w:rsidRPr="005E6E30">
              <w:rPr>
                <w:rFonts w:cs="Arial"/>
                <w:szCs w:val="20"/>
              </w:rPr>
              <w:t>QULIPTA 10 MG TABLET</w:t>
            </w:r>
          </w:p>
        </w:tc>
        <w:tc>
          <w:tcPr>
            <w:tcW w:w="2700" w:type="dxa"/>
            <w:vAlign w:val="center"/>
          </w:tcPr>
          <w:p w14:paraId="4EA1996A" w14:textId="31154476" w:rsidR="00DF4E19" w:rsidRPr="00BE19BC" w:rsidRDefault="00DF4E19" w:rsidP="00DF4E19">
            <w:pPr>
              <w:rPr>
                <w:rFonts w:cs="Arial"/>
                <w:caps/>
                <w:szCs w:val="20"/>
              </w:rPr>
            </w:pPr>
            <w:r w:rsidRPr="005E6E30">
              <w:rPr>
                <w:rFonts w:cs="Arial"/>
                <w:szCs w:val="20"/>
              </w:rPr>
              <w:t>ATOGEPANT</w:t>
            </w:r>
          </w:p>
        </w:tc>
        <w:tc>
          <w:tcPr>
            <w:tcW w:w="2695" w:type="dxa"/>
            <w:vAlign w:val="center"/>
          </w:tcPr>
          <w:p w14:paraId="28874F2D" w14:textId="17F021BC" w:rsidR="00DF4E19" w:rsidRPr="00BE19BC" w:rsidRDefault="00DF4E19" w:rsidP="00DF4E19">
            <w:pPr>
              <w:rPr>
                <w:rFonts w:cs="Arial"/>
                <w:szCs w:val="20"/>
              </w:rPr>
            </w:pPr>
            <w:r w:rsidRPr="005E6E30">
              <w:rPr>
                <w:rFonts w:cs="Arial"/>
                <w:szCs w:val="20"/>
              </w:rPr>
              <w:t>1 tablet per day</w:t>
            </w:r>
          </w:p>
        </w:tc>
      </w:tr>
      <w:tr w:rsidR="00DF4E19" w:rsidRPr="00C02553" w14:paraId="43798E2D" w14:textId="77777777" w:rsidTr="00DF4E19">
        <w:trPr>
          <w:trHeight w:val="276"/>
        </w:trPr>
        <w:tc>
          <w:tcPr>
            <w:tcW w:w="3955" w:type="dxa"/>
            <w:vAlign w:val="center"/>
          </w:tcPr>
          <w:p w14:paraId="6AD6B47F" w14:textId="29502FD6" w:rsidR="00DF4E19" w:rsidRPr="005E6E30" w:rsidRDefault="00DF4E19" w:rsidP="00DF4E19">
            <w:pPr>
              <w:rPr>
                <w:rFonts w:cs="Arial"/>
                <w:szCs w:val="20"/>
              </w:rPr>
            </w:pPr>
            <w:r w:rsidRPr="005E6E30">
              <w:rPr>
                <w:rFonts w:cs="Arial"/>
                <w:szCs w:val="20"/>
              </w:rPr>
              <w:t>QULIPTA 30 MG TABLET</w:t>
            </w:r>
          </w:p>
        </w:tc>
        <w:tc>
          <w:tcPr>
            <w:tcW w:w="2700" w:type="dxa"/>
            <w:vAlign w:val="center"/>
          </w:tcPr>
          <w:p w14:paraId="49D76825" w14:textId="0447F645" w:rsidR="00DF4E19" w:rsidRPr="005E6E30" w:rsidRDefault="00DF4E19" w:rsidP="00DF4E19">
            <w:pPr>
              <w:rPr>
                <w:rFonts w:cs="Arial"/>
                <w:szCs w:val="20"/>
              </w:rPr>
            </w:pPr>
            <w:r w:rsidRPr="005E6E30">
              <w:rPr>
                <w:rFonts w:cs="Arial"/>
                <w:szCs w:val="20"/>
              </w:rPr>
              <w:t>ATOGEPANT</w:t>
            </w:r>
          </w:p>
        </w:tc>
        <w:tc>
          <w:tcPr>
            <w:tcW w:w="2695" w:type="dxa"/>
            <w:vAlign w:val="center"/>
          </w:tcPr>
          <w:p w14:paraId="67C31E98" w14:textId="57BF5A28" w:rsidR="00DF4E19" w:rsidRPr="005E6E30" w:rsidRDefault="00DF4E19" w:rsidP="00DF4E19">
            <w:pPr>
              <w:rPr>
                <w:rFonts w:cs="Arial"/>
                <w:szCs w:val="20"/>
              </w:rPr>
            </w:pPr>
            <w:r w:rsidRPr="005E6E30">
              <w:rPr>
                <w:rFonts w:cs="Arial"/>
                <w:szCs w:val="20"/>
              </w:rPr>
              <w:t>1 tablet per day</w:t>
            </w:r>
          </w:p>
        </w:tc>
      </w:tr>
      <w:tr w:rsidR="00DF4E19" w:rsidRPr="00C02553" w14:paraId="5AA4F492" w14:textId="77777777" w:rsidTr="00DF4E19">
        <w:trPr>
          <w:trHeight w:val="276"/>
        </w:trPr>
        <w:tc>
          <w:tcPr>
            <w:tcW w:w="3955" w:type="dxa"/>
            <w:vAlign w:val="center"/>
          </w:tcPr>
          <w:p w14:paraId="2CE70E55" w14:textId="054772AA" w:rsidR="00DF4E19" w:rsidRPr="005E6E30" w:rsidRDefault="00DF4E19" w:rsidP="00DF4E19">
            <w:pPr>
              <w:rPr>
                <w:rFonts w:cs="Arial"/>
                <w:szCs w:val="20"/>
              </w:rPr>
            </w:pPr>
            <w:r w:rsidRPr="005E6E30">
              <w:rPr>
                <w:rFonts w:cs="Arial"/>
                <w:szCs w:val="20"/>
              </w:rPr>
              <w:t>QULIPTA 60 MG TABLET</w:t>
            </w:r>
          </w:p>
        </w:tc>
        <w:tc>
          <w:tcPr>
            <w:tcW w:w="2700" w:type="dxa"/>
            <w:vAlign w:val="center"/>
          </w:tcPr>
          <w:p w14:paraId="371DA3A7" w14:textId="21068D45" w:rsidR="00DF4E19" w:rsidRPr="005E6E30" w:rsidRDefault="00DF4E19" w:rsidP="00DF4E19">
            <w:pPr>
              <w:rPr>
                <w:rFonts w:cs="Arial"/>
                <w:szCs w:val="20"/>
              </w:rPr>
            </w:pPr>
            <w:r w:rsidRPr="005E6E30">
              <w:rPr>
                <w:rFonts w:cs="Arial"/>
                <w:szCs w:val="20"/>
              </w:rPr>
              <w:t>ATOGEPANT</w:t>
            </w:r>
          </w:p>
        </w:tc>
        <w:tc>
          <w:tcPr>
            <w:tcW w:w="2695" w:type="dxa"/>
            <w:vAlign w:val="center"/>
          </w:tcPr>
          <w:p w14:paraId="071C102B" w14:textId="13665BAC" w:rsidR="00DF4E19" w:rsidRPr="005E6E30" w:rsidRDefault="00DF4E19" w:rsidP="00DF4E19">
            <w:pPr>
              <w:rPr>
                <w:rFonts w:cs="Arial"/>
                <w:szCs w:val="20"/>
              </w:rPr>
            </w:pPr>
            <w:r w:rsidRPr="005E6E30">
              <w:rPr>
                <w:rFonts w:cs="Arial"/>
                <w:szCs w:val="20"/>
              </w:rPr>
              <w:t>1 tablet per day</w:t>
            </w:r>
          </w:p>
        </w:tc>
      </w:tr>
      <w:tr w:rsidR="00DF4E19" w:rsidRPr="00C02553" w14:paraId="60A987F0" w14:textId="77777777" w:rsidTr="00DF4E19">
        <w:trPr>
          <w:trHeight w:val="276"/>
        </w:trPr>
        <w:tc>
          <w:tcPr>
            <w:tcW w:w="3955" w:type="dxa"/>
            <w:vAlign w:val="center"/>
          </w:tcPr>
          <w:p w14:paraId="312D44FF" w14:textId="62D0E1F2" w:rsidR="00DF4E19" w:rsidRPr="005E6E30" w:rsidRDefault="00DF4E19" w:rsidP="00DF4E19">
            <w:pPr>
              <w:rPr>
                <w:rFonts w:cs="Arial"/>
                <w:szCs w:val="20"/>
              </w:rPr>
            </w:pPr>
            <w:r w:rsidRPr="00BE19BC">
              <w:rPr>
                <w:rFonts w:cs="Arial"/>
                <w:caps/>
                <w:szCs w:val="20"/>
              </w:rPr>
              <w:t xml:space="preserve">VYEPTI 100 MG/ML VIAL         </w:t>
            </w:r>
          </w:p>
        </w:tc>
        <w:tc>
          <w:tcPr>
            <w:tcW w:w="2700" w:type="dxa"/>
            <w:vAlign w:val="center"/>
          </w:tcPr>
          <w:p w14:paraId="30BCB8A3" w14:textId="0278E001" w:rsidR="00DF4E19" w:rsidRPr="005E6E30" w:rsidRDefault="00DF4E19" w:rsidP="00DF4E19">
            <w:pPr>
              <w:rPr>
                <w:rFonts w:cs="Arial"/>
                <w:szCs w:val="20"/>
              </w:rPr>
            </w:pPr>
            <w:r w:rsidRPr="00BE19BC">
              <w:rPr>
                <w:rFonts w:cs="Arial"/>
                <w:caps/>
                <w:szCs w:val="20"/>
              </w:rPr>
              <w:t>EPTINEZUMAB-JJMR</w:t>
            </w:r>
          </w:p>
        </w:tc>
        <w:tc>
          <w:tcPr>
            <w:tcW w:w="2695" w:type="dxa"/>
            <w:vAlign w:val="center"/>
          </w:tcPr>
          <w:p w14:paraId="5304226D" w14:textId="723626BB" w:rsidR="00DF4E19" w:rsidRPr="005E6E30" w:rsidRDefault="00DF4E19" w:rsidP="00DF4E19">
            <w:pPr>
              <w:rPr>
                <w:rFonts w:cs="Arial"/>
                <w:szCs w:val="20"/>
              </w:rPr>
            </w:pPr>
            <w:r w:rsidRPr="00BE19BC">
              <w:rPr>
                <w:rFonts w:cs="Arial"/>
                <w:szCs w:val="20"/>
              </w:rPr>
              <w:t>3 vials per 76 days</w:t>
            </w:r>
          </w:p>
        </w:tc>
      </w:tr>
    </w:tbl>
    <w:p w14:paraId="4D21EAF1" w14:textId="77777777" w:rsidR="001E4CBA" w:rsidRPr="002C2C41" w:rsidRDefault="001E4CBA" w:rsidP="001C73B1">
      <w:pPr>
        <w:pStyle w:val="ListParagraph"/>
        <w:numPr>
          <w:ilvl w:val="0"/>
          <w:numId w:val="0"/>
        </w:numPr>
        <w:ind w:left="360"/>
        <w:rPr>
          <w:rFonts w:cs="Arial"/>
          <w:szCs w:val="22"/>
        </w:rPr>
      </w:pPr>
    </w:p>
    <w:p w14:paraId="050492C1" w14:textId="77777777" w:rsidR="00BC5635" w:rsidRPr="00C02553" w:rsidRDefault="00BC5635" w:rsidP="00343D6B">
      <w:pPr>
        <w:pStyle w:val="Heading1"/>
        <w:rPr>
          <w:lang w:val="en-US"/>
        </w:rPr>
      </w:pPr>
      <w:bookmarkStart w:id="1" w:name="_Hlk34120952"/>
      <w:r w:rsidRPr="00C02553">
        <w:rPr>
          <w:lang w:val="en-US"/>
        </w:rPr>
        <w:t>Disposition of Edit</w:t>
      </w:r>
    </w:p>
    <w:p w14:paraId="2A6C8BA0" w14:textId="2F3144DB" w:rsidR="00BC5635" w:rsidRPr="00C02553" w:rsidRDefault="00C26001" w:rsidP="00696E3A">
      <w:r w:rsidRPr="00696E3A">
        <w:rPr>
          <w:b/>
          <w:bCs/>
        </w:rPr>
        <w:t>Denial:</w:t>
      </w:r>
      <w:r w:rsidR="00074464" w:rsidRPr="00C02553">
        <w:t xml:space="preserve"> </w:t>
      </w:r>
      <w:r w:rsidR="00973BD6" w:rsidRPr="00973BD6">
        <w:t>Exception Code “0</w:t>
      </w:r>
      <w:r w:rsidR="00126B60">
        <w:t>160</w:t>
      </w:r>
      <w:r w:rsidR="00973BD6" w:rsidRPr="00973BD6">
        <w:t>” (</w:t>
      </w:r>
      <w:r w:rsidR="00126B60">
        <w:t>Preferred Drug List</w:t>
      </w:r>
      <w:r w:rsidR="00973BD6" w:rsidRPr="00973BD6">
        <w:t>)</w:t>
      </w:r>
    </w:p>
    <w:p w14:paraId="297E1B37" w14:textId="7EFB55E8" w:rsidR="002A02F4" w:rsidRPr="00C02553" w:rsidRDefault="00C26001" w:rsidP="00696E3A">
      <w:r w:rsidRPr="00696E3A">
        <w:rPr>
          <w:b/>
          <w:bCs/>
        </w:rPr>
        <w:t>Rule Type:</w:t>
      </w:r>
      <w:r w:rsidR="00074464" w:rsidRPr="00C02553">
        <w:t xml:space="preserve"> </w:t>
      </w:r>
      <w:r w:rsidR="00126B60">
        <w:t>PDL</w:t>
      </w:r>
    </w:p>
    <w:p w14:paraId="729AD156" w14:textId="77777777" w:rsidR="00472113" w:rsidRPr="001A2614" w:rsidRDefault="00343D6B" w:rsidP="00472113">
      <w:pPr>
        <w:rPr>
          <w:rFonts w:cs="Arial"/>
          <w:szCs w:val="20"/>
        </w:rPr>
      </w:pPr>
      <w:r w:rsidRPr="00696E3A">
        <w:rPr>
          <w:b/>
          <w:bCs/>
        </w:rPr>
        <w:t>Default Approval Period:</w:t>
      </w:r>
      <w:r w:rsidR="00973BD6">
        <w:t xml:space="preserve"> </w:t>
      </w:r>
      <w:r w:rsidR="00472113" w:rsidRPr="001A2614">
        <w:rPr>
          <w:rFonts w:cs="Arial"/>
          <w:szCs w:val="20"/>
        </w:rPr>
        <w:t>6 months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1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51874DCE" w14:textId="77777777" w:rsidR="00BF5620" w:rsidRPr="001A2614" w:rsidRDefault="00BF5620" w:rsidP="00BF5620">
      <w:pPr>
        <w:numPr>
          <w:ilvl w:val="0"/>
          <w:numId w:val="20"/>
        </w:numPr>
        <w:rPr>
          <w:rFonts w:cs="Arial"/>
          <w:szCs w:val="20"/>
        </w:rPr>
      </w:pPr>
      <w:r w:rsidRPr="001A2614">
        <w:rPr>
          <w:rFonts w:cs="Arial"/>
          <w:szCs w:val="20"/>
        </w:rPr>
        <w:t xml:space="preserve">Evidence-Based Medicine and Fiscal Analysis: “Therapeutic Class Review: CENTRAL NERVOUS SYSTEM: Calcitonin Gene-Related Peptide Receptor Targeted Therapies”, Gainwell Technologies; Last updated </w:t>
      </w:r>
      <w:r>
        <w:rPr>
          <w:rFonts w:cs="Arial"/>
          <w:szCs w:val="20"/>
        </w:rPr>
        <w:t>October 16, 2024</w:t>
      </w:r>
      <w:r w:rsidRPr="001A2614">
        <w:rPr>
          <w:rFonts w:cs="Arial"/>
          <w:szCs w:val="20"/>
        </w:rPr>
        <w:t>.</w:t>
      </w:r>
    </w:p>
    <w:p w14:paraId="4EC0ACBB" w14:textId="70AB7E7E" w:rsidR="00BF5620" w:rsidRPr="001A2614" w:rsidRDefault="00BF5620" w:rsidP="00BF5620">
      <w:pPr>
        <w:pStyle w:val="List2"/>
        <w:numPr>
          <w:ilvl w:val="0"/>
          <w:numId w:val="20"/>
        </w:numPr>
        <w:rPr>
          <w:rFonts w:cs="Arial"/>
          <w:szCs w:val="20"/>
        </w:rPr>
      </w:pPr>
      <w:r w:rsidRPr="001A2614">
        <w:rPr>
          <w:rFonts w:cs="Arial"/>
          <w:szCs w:val="20"/>
        </w:rPr>
        <w:t xml:space="preserve">Evidence-Based Medicine Analysis: “Calcitonin Gene-Related Peptide (CGRP) Inhibitors”, UMKC-DIC; </w:t>
      </w:r>
      <w:r>
        <w:rPr>
          <w:rFonts w:cs="Arial"/>
          <w:szCs w:val="20"/>
        </w:rPr>
        <w:t>September</w:t>
      </w:r>
      <w:r w:rsidRPr="001A2614">
        <w:rPr>
          <w:rFonts w:cs="Arial"/>
          <w:szCs w:val="20"/>
        </w:rPr>
        <w:t xml:space="preserve"> 202</w:t>
      </w:r>
      <w:r w:rsidR="002D4E1D">
        <w:rPr>
          <w:rFonts w:cs="Arial"/>
          <w:szCs w:val="20"/>
        </w:rPr>
        <w:t>5</w:t>
      </w:r>
      <w:r w:rsidRPr="001A2614">
        <w:rPr>
          <w:rFonts w:cs="Arial"/>
          <w:szCs w:val="20"/>
        </w:rPr>
        <w:t>.</w:t>
      </w:r>
    </w:p>
    <w:p w14:paraId="50AF540E" w14:textId="31F52811" w:rsidR="00BF5620" w:rsidRPr="001A2614" w:rsidRDefault="00BF5620" w:rsidP="00BF5620">
      <w:pPr>
        <w:numPr>
          <w:ilvl w:val="0"/>
          <w:numId w:val="20"/>
        </w:numPr>
        <w:rPr>
          <w:rFonts w:cs="Arial"/>
          <w:szCs w:val="20"/>
        </w:rPr>
      </w:pPr>
      <w:r w:rsidRPr="001A2614">
        <w:rPr>
          <w:rFonts w:cs="Arial"/>
          <w:szCs w:val="20"/>
        </w:rPr>
        <w:t>USPDI, Micromedex; 202</w:t>
      </w:r>
      <w:r>
        <w:rPr>
          <w:rFonts w:cs="Arial"/>
          <w:szCs w:val="20"/>
        </w:rPr>
        <w:t>5</w:t>
      </w:r>
      <w:r w:rsidRPr="001A2614">
        <w:rPr>
          <w:rFonts w:cs="Arial"/>
          <w:szCs w:val="20"/>
        </w:rPr>
        <w:t>.</w:t>
      </w:r>
    </w:p>
    <w:p w14:paraId="713879EB" w14:textId="024B860F" w:rsidR="00BF5620" w:rsidRDefault="00BF5620" w:rsidP="00BF5620">
      <w:pPr>
        <w:numPr>
          <w:ilvl w:val="0"/>
          <w:numId w:val="20"/>
        </w:numPr>
        <w:rPr>
          <w:rFonts w:cs="Arial"/>
          <w:szCs w:val="20"/>
        </w:rPr>
      </w:pPr>
      <w:r w:rsidRPr="001A2614">
        <w:rPr>
          <w:rFonts w:cs="Arial"/>
          <w:szCs w:val="20"/>
        </w:rPr>
        <w:t>Drug Facts and Comparisons On-line; 202</w:t>
      </w:r>
      <w:r>
        <w:rPr>
          <w:rFonts w:cs="Arial"/>
          <w:szCs w:val="20"/>
        </w:rPr>
        <w:t>5</w:t>
      </w:r>
      <w:r w:rsidRPr="001A2614">
        <w:rPr>
          <w:rFonts w:cs="Arial"/>
          <w:szCs w:val="20"/>
        </w:rPr>
        <w:t>.</w:t>
      </w:r>
    </w:p>
    <w:p w14:paraId="3FA1E7DB" w14:textId="201D684A" w:rsidR="00777CA4" w:rsidRPr="00BF5620" w:rsidRDefault="00BF5620" w:rsidP="00BF5620">
      <w:pPr>
        <w:numPr>
          <w:ilvl w:val="0"/>
          <w:numId w:val="20"/>
        </w:numPr>
        <w:rPr>
          <w:rFonts w:cs="Arial"/>
          <w:szCs w:val="20"/>
        </w:rPr>
      </w:pPr>
      <w:r w:rsidRPr="008746A4">
        <w:rPr>
          <w:rFonts w:cs="Arial"/>
          <w:szCs w:val="20"/>
        </w:rPr>
        <w:lastRenderedPageBreak/>
        <w:t>Charles AC, Digre KB, Goadsby PJ, et al. The American Headache Society: Calcitonin gene</w:t>
      </w:r>
      <w:r>
        <w:rPr>
          <w:rFonts w:cs="Arial"/>
          <w:szCs w:val="20"/>
        </w:rPr>
        <w:t>-</w:t>
      </w:r>
      <w:r w:rsidRPr="008746A4">
        <w:rPr>
          <w:rFonts w:cs="Arial"/>
          <w:szCs w:val="20"/>
        </w:rPr>
        <w:t>related peptide-targeting therapies are a first-line option for the prevention of migraine: An American Headache Society position statement update. Headache. 2024; 64: 333–341.</w:t>
      </w:r>
    </w:p>
    <w:sectPr w:rsidR="00777CA4" w:rsidRPr="00BF5620" w:rsidSect="00AB0B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21B1A" w14:textId="77777777" w:rsidR="00CF2493" w:rsidRPr="00C02553" w:rsidRDefault="00CF2493" w:rsidP="00AE77DB">
      <w:r w:rsidRPr="00C02553">
        <w:separator/>
      </w:r>
    </w:p>
  </w:endnote>
  <w:endnote w:type="continuationSeparator" w:id="0">
    <w:p w14:paraId="79F59661" w14:textId="77777777" w:rsidR="00CF2493" w:rsidRPr="00C02553" w:rsidRDefault="00CF2493" w:rsidP="00AE77DB">
      <w:r w:rsidRPr="00C02553">
        <w:continuationSeparator/>
      </w:r>
    </w:p>
  </w:endnote>
  <w:endnote w:type="continuationNotice" w:id="1">
    <w:p w14:paraId="030E6DF2" w14:textId="77777777" w:rsidR="00CF2493" w:rsidRPr="00C02553" w:rsidRDefault="00CF24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Pr="00C02553">
      <w:rPr>
        <w:rFonts w:cs="Arial"/>
        <w:sz w:val="16"/>
        <w:szCs w:val="16"/>
      </w:rPr>
      <w:t xml:space="preserve">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86CE1" w14:textId="77777777" w:rsidR="00CF2493" w:rsidRPr="00C02553" w:rsidRDefault="00CF2493" w:rsidP="00AE77DB">
      <w:r w:rsidRPr="00C02553">
        <w:separator/>
      </w:r>
    </w:p>
  </w:footnote>
  <w:footnote w:type="continuationSeparator" w:id="0">
    <w:p w14:paraId="663A80C5" w14:textId="77777777" w:rsidR="00CF2493" w:rsidRPr="00C02553" w:rsidRDefault="00CF2493" w:rsidP="00AE77DB">
      <w:r w:rsidRPr="00C02553">
        <w:continuationSeparator/>
      </w:r>
    </w:p>
  </w:footnote>
  <w:footnote w:type="continuationNotice" w:id="1">
    <w:p w14:paraId="39F21478" w14:textId="77777777" w:rsidR="00CF2493" w:rsidRPr="00C02553" w:rsidRDefault="00CF24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379CBC0E" w:rsidR="00006A61" w:rsidRPr="00C02553" w:rsidRDefault="00FE3958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w:pict w14:anchorId="671F52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7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006A61" w:rsidRPr="00C02553">
      <w:rPr>
        <w:rStyle w:val="PageNumber"/>
        <w:rFonts w:ascii="Times New Roman" w:hAnsi="Times New Roman"/>
      </w:rPr>
      <w:fldChar w:fldCharType="begin"/>
    </w:r>
    <w:r w:rsidR="00006A61" w:rsidRPr="00C02553">
      <w:rPr>
        <w:rStyle w:val="PageNumber"/>
        <w:rFonts w:ascii="Times New Roman" w:hAnsi="Times New Roman"/>
      </w:rPr>
      <w:instrText xml:space="preserve">PAGE  </w:instrText>
    </w:r>
    <w:r w:rsidR="00006A61" w:rsidRPr="00C02553">
      <w:rPr>
        <w:rStyle w:val="PageNumber"/>
        <w:rFonts w:ascii="Times New Roman" w:hAnsi="Times New Roman"/>
      </w:rPr>
      <w:fldChar w:fldCharType="separate"/>
    </w:r>
    <w:r w:rsidR="00006A61" w:rsidRPr="00C02553">
      <w:rPr>
        <w:rStyle w:val="PageNumber"/>
        <w:rFonts w:ascii="Times New Roman" w:hAnsi="Times New Roman"/>
      </w:rPr>
      <w:t>2</w:t>
    </w:r>
    <w:r w:rsidR="00006A61"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54C3FB2C" w:rsidR="00596936" w:rsidRDefault="00FE3958">
    <w:pPr>
      <w:pStyle w:val="Header"/>
    </w:pPr>
    <w:r>
      <w:rPr>
        <w:noProof/>
      </w:rPr>
      <w:pict w14:anchorId="3B660B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8" o:spid="_x0000_s1027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28841AA8" w:rsidR="00006A61" w:rsidRPr="00C02553" w:rsidRDefault="00AB0B9F">
    <w:pPr>
      <w:pStyle w:val="Header"/>
      <w:rPr>
        <w:rFonts w:ascii="Times New Roman" w:hAnsi="Times New Roman"/>
      </w:rPr>
    </w:pPr>
    <w:r w:rsidRPr="00C02553">
      <w:rPr>
        <w:noProof/>
      </w:rPr>
      <w:drawing>
        <wp:anchor distT="0" distB="0" distL="114300" distR="114300" simplePos="0" relativeHeight="251658240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dec="http://schemas.microsoft.com/office/drawing/2017/decorativ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3958">
      <w:rPr>
        <w:noProof/>
      </w:rPr>
      <w:pict w14:anchorId="29885B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6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3324980"/>
    <w:multiLevelType w:val="multilevel"/>
    <w:tmpl w:val="919A3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trike w:val="0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48D40C3"/>
    <w:multiLevelType w:val="multilevel"/>
    <w:tmpl w:val="E1A2A51C"/>
    <w:numStyleLink w:val="References"/>
  </w:abstractNum>
  <w:abstractNum w:abstractNumId="6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57081"/>
    <w:multiLevelType w:val="hybridMultilevel"/>
    <w:tmpl w:val="DD42C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9540F4"/>
    <w:multiLevelType w:val="hybridMultilevel"/>
    <w:tmpl w:val="4A726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D75B28"/>
    <w:multiLevelType w:val="hybridMultilevel"/>
    <w:tmpl w:val="8CE80A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BF018B"/>
    <w:multiLevelType w:val="hybridMultilevel"/>
    <w:tmpl w:val="1C1CCB60"/>
    <w:lvl w:ilvl="0" w:tplc="B42A2F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D02F61"/>
    <w:multiLevelType w:val="hybridMultilevel"/>
    <w:tmpl w:val="4A2AC0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19"/>
  </w:num>
  <w:num w:numId="3" w16cid:durableId="1729067566">
    <w:abstractNumId w:val="5"/>
  </w:num>
  <w:num w:numId="4" w16cid:durableId="320159068">
    <w:abstractNumId w:val="8"/>
  </w:num>
  <w:num w:numId="5" w16cid:durableId="1769498754">
    <w:abstractNumId w:val="3"/>
  </w:num>
  <w:num w:numId="6" w16cid:durableId="1094596320">
    <w:abstractNumId w:val="16"/>
  </w:num>
  <w:num w:numId="7" w16cid:durableId="2110008555">
    <w:abstractNumId w:val="2"/>
  </w:num>
  <w:num w:numId="8" w16cid:durableId="489712751">
    <w:abstractNumId w:val="7"/>
  </w:num>
  <w:num w:numId="9" w16cid:durableId="1085147965">
    <w:abstractNumId w:val="11"/>
  </w:num>
  <w:num w:numId="10" w16cid:durableId="917518096">
    <w:abstractNumId w:val="9"/>
  </w:num>
  <w:num w:numId="11" w16cid:durableId="1894998475">
    <w:abstractNumId w:val="1"/>
  </w:num>
  <w:num w:numId="12" w16cid:durableId="1418215296">
    <w:abstractNumId w:val="17"/>
  </w:num>
  <w:num w:numId="13" w16cid:durableId="604729665">
    <w:abstractNumId w:val="6"/>
  </w:num>
  <w:num w:numId="14" w16cid:durableId="1805081292">
    <w:abstractNumId w:val="13"/>
  </w:num>
  <w:num w:numId="15" w16cid:durableId="1101485466">
    <w:abstractNumId w:val="10"/>
  </w:num>
  <w:num w:numId="16" w16cid:durableId="123549824">
    <w:abstractNumId w:val="4"/>
  </w:num>
  <w:num w:numId="17" w16cid:durableId="1989481985">
    <w:abstractNumId w:val="18"/>
  </w:num>
  <w:num w:numId="18" w16cid:durableId="1523201676">
    <w:abstractNumId w:val="14"/>
  </w:num>
  <w:num w:numId="19" w16cid:durableId="1636252880">
    <w:abstractNumId w:val="15"/>
  </w:num>
  <w:num w:numId="20" w16cid:durableId="182635995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276D9"/>
    <w:rsid w:val="000344C5"/>
    <w:rsid w:val="00040AD3"/>
    <w:rsid w:val="00053807"/>
    <w:rsid w:val="000572E5"/>
    <w:rsid w:val="00057F84"/>
    <w:rsid w:val="00061541"/>
    <w:rsid w:val="00064162"/>
    <w:rsid w:val="00065C22"/>
    <w:rsid w:val="00074464"/>
    <w:rsid w:val="00076030"/>
    <w:rsid w:val="00082590"/>
    <w:rsid w:val="000913C3"/>
    <w:rsid w:val="000953B9"/>
    <w:rsid w:val="000A413B"/>
    <w:rsid w:val="000A6279"/>
    <w:rsid w:val="000B496B"/>
    <w:rsid w:val="000C3940"/>
    <w:rsid w:val="000C5992"/>
    <w:rsid w:val="000D7E66"/>
    <w:rsid w:val="000E1479"/>
    <w:rsid w:val="000E231E"/>
    <w:rsid w:val="000E247D"/>
    <w:rsid w:val="000E5EC8"/>
    <w:rsid w:val="000E6B14"/>
    <w:rsid w:val="000E70D8"/>
    <w:rsid w:val="001062F6"/>
    <w:rsid w:val="00112FC7"/>
    <w:rsid w:val="001220CC"/>
    <w:rsid w:val="00125F5F"/>
    <w:rsid w:val="00126951"/>
    <w:rsid w:val="00126B60"/>
    <w:rsid w:val="00127EF6"/>
    <w:rsid w:val="001310AD"/>
    <w:rsid w:val="001314A5"/>
    <w:rsid w:val="00132C7F"/>
    <w:rsid w:val="00144DBE"/>
    <w:rsid w:val="00152C8B"/>
    <w:rsid w:val="0015636A"/>
    <w:rsid w:val="00164DA7"/>
    <w:rsid w:val="00172053"/>
    <w:rsid w:val="00177A80"/>
    <w:rsid w:val="001A1CC8"/>
    <w:rsid w:val="001A50CB"/>
    <w:rsid w:val="001A74B7"/>
    <w:rsid w:val="001B2D47"/>
    <w:rsid w:val="001B32E2"/>
    <w:rsid w:val="001C0250"/>
    <w:rsid w:val="001C6DA4"/>
    <w:rsid w:val="001C73B1"/>
    <w:rsid w:val="001D1E7D"/>
    <w:rsid w:val="001D6567"/>
    <w:rsid w:val="001E2CCB"/>
    <w:rsid w:val="001E4CBA"/>
    <w:rsid w:val="001E523C"/>
    <w:rsid w:val="001E61DF"/>
    <w:rsid w:val="001F2B9F"/>
    <w:rsid w:val="001F5954"/>
    <w:rsid w:val="00202DD3"/>
    <w:rsid w:val="00206E7D"/>
    <w:rsid w:val="00217E14"/>
    <w:rsid w:val="00217EFD"/>
    <w:rsid w:val="00222134"/>
    <w:rsid w:val="0022233F"/>
    <w:rsid w:val="00226275"/>
    <w:rsid w:val="00246564"/>
    <w:rsid w:val="00246A3B"/>
    <w:rsid w:val="00255404"/>
    <w:rsid w:val="0025594F"/>
    <w:rsid w:val="00270C5E"/>
    <w:rsid w:val="00290A03"/>
    <w:rsid w:val="0029159A"/>
    <w:rsid w:val="00291600"/>
    <w:rsid w:val="002A01A1"/>
    <w:rsid w:val="002A02F4"/>
    <w:rsid w:val="002C2C41"/>
    <w:rsid w:val="002C62E7"/>
    <w:rsid w:val="002D4E1D"/>
    <w:rsid w:val="002E05E2"/>
    <w:rsid w:val="002E2DD6"/>
    <w:rsid w:val="002E3F28"/>
    <w:rsid w:val="002F0E52"/>
    <w:rsid w:val="002F2274"/>
    <w:rsid w:val="002F2405"/>
    <w:rsid w:val="002F690F"/>
    <w:rsid w:val="0030301F"/>
    <w:rsid w:val="00303B21"/>
    <w:rsid w:val="00313701"/>
    <w:rsid w:val="00314430"/>
    <w:rsid w:val="00316188"/>
    <w:rsid w:val="003171AF"/>
    <w:rsid w:val="00317469"/>
    <w:rsid w:val="0032215C"/>
    <w:rsid w:val="0032616B"/>
    <w:rsid w:val="00326687"/>
    <w:rsid w:val="003275F9"/>
    <w:rsid w:val="003355AC"/>
    <w:rsid w:val="00343D6B"/>
    <w:rsid w:val="00347FB5"/>
    <w:rsid w:val="00355515"/>
    <w:rsid w:val="003608B5"/>
    <w:rsid w:val="003613AF"/>
    <w:rsid w:val="003878C1"/>
    <w:rsid w:val="00396C0B"/>
    <w:rsid w:val="003A630F"/>
    <w:rsid w:val="003B3958"/>
    <w:rsid w:val="003B4820"/>
    <w:rsid w:val="003B5F4B"/>
    <w:rsid w:val="003B682F"/>
    <w:rsid w:val="003C4C3B"/>
    <w:rsid w:val="003C53FC"/>
    <w:rsid w:val="003C7013"/>
    <w:rsid w:val="003D641B"/>
    <w:rsid w:val="003E359D"/>
    <w:rsid w:val="003F1DEE"/>
    <w:rsid w:val="003F227C"/>
    <w:rsid w:val="004023CC"/>
    <w:rsid w:val="00407564"/>
    <w:rsid w:val="00411152"/>
    <w:rsid w:val="004156AA"/>
    <w:rsid w:val="004253A1"/>
    <w:rsid w:val="004313B6"/>
    <w:rsid w:val="00433339"/>
    <w:rsid w:val="00444AAF"/>
    <w:rsid w:val="00446BBC"/>
    <w:rsid w:val="004472C0"/>
    <w:rsid w:val="00450705"/>
    <w:rsid w:val="00451928"/>
    <w:rsid w:val="00463C6C"/>
    <w:rsid w:val="0046618B"/>
    <w:rsid w:val="00472113"/>
    <w:rsid w:val="00476551"/>
    <w:rsid w:val="0048608C"/>
    <w:rsid w:val="00496E57"/>
    <w:rsid w:val="004B3E10"/>
    <w:rsid w:val="004C0F5D"/>
    <w:rsid w:val="004C375A"/>
    <w:rsid w:val="004C4954"/>
    <w:rsid w:val="004C5767"/>
    <w:rsid w:val="004D2158"/>
    <w:rsid w:val="004D5322"/>
    <w:rsid w:val="004D78B0"/>
    <w:rsid w:val="004E611F"/>
    <w:rsid w:val="004F2A79"/>
    <w:rsid w:val="004F4D37"/>
    <w:rsid w:val="00501A14"/>
    <w:rsid w:val="00501DE3"/>
    <w:rsid w:val="005058CB"/>
    <w:rsid w:val="0051044D"/>
    <w:rsid w:val="005139E4"/>
    <w:rsid w:val="00515075"/>
    <w:rsid w:val="00520FE9"/>
    <w:rsid w:val="005233E7"/>
    <w:rsid w:val="005328B2"/>
    <w:rsid w:val="00535BD5"/>
    <w:rsid w:val="00540977"/>
    <w:rsid w:val="00544454"/>
    <w:rsid w:val="00551668"/>
    <w:rsid w:val="005572D5"/>
    <w:rsid w:val="00566BE4"/>
    <w:rsid w:val="00570D21"/>
    <w:rsid w:val="00573856"/>
    <w:rsid w:val="00576113"/>
    <w:rsid w:val="00590652"/>
    <w:rsid w:val="0059235F"/>
    <w:rsid w:val="00596936"/>
    <w:rsid w:val="005A2F1E"/>
    <w:rsid w:val="005A4232"/>
    <w:rsid w:val="005C3616"/>
    <w:rsid w:val="005D36B2"/>
    <w:rsid w:val="005D52E7"/>
    <w:rsid w:val="005D78B5"/>
    <w:rsid w:val="005E3572"/>
    <w:rsid w:val="005E45E4"/>
    <w:rsid w:val="005F0A81"/>
    <w:rsid w:val="005F0FCF"/>
    <w:rsid w:val="0060042F"/>
    <w:rsid w:val="006008BC"/>
    <w:rsid w:val="00602CFD"/>
    <w:rsid w:val="00606B55"/>
    <w:rsid w:val="00612A7B"/>
    <w:rsid w:val="00616E5E"/>
    <w:rsid w:val="006173A4"/>
    <w:rsid w:val="00617E50"/>
    <w:rsid w:val="006205AD"/>
    <w:rsid w:val="00622B1D"/>
    <w:rsid w:val="00625C3A"/>
    <w:rsid w:val="00635DDB"/>
    <w:rsid w:val="0064149A"/>
    <w:rsid w:val="00646DFE"/>
    <w:rsid w:val="00650530"/>
    <w:rsid w:val="00650C96"/>
    <w:rsid w:val="00653788"/>
    <w:rsid w:val="0065477F"/>
    <w:rsid w:val="00656896"/>
    <w:rsid w:val="00661656"/>
    <w:rsid w:val="0066374F"/>
    <w:rsid w:val="00677C65"/>
    <w:rsid w:val="00693152"/>
    <w:rsid w:val="00694FAE"/>
    <w:rsid w:val="00696E3A"/>
    <w:rsid w:val="006A0834"/>
    <w:rsid w:val="006A4BBD"/>
    <w:rsid w:val="006A52F1"/>
    <w:rsid w:val="006A6CD0"/>
    <w:rsid w:val="006B561D"/>
    <w:rsid w:val="006B6D5D"/>
    <w:rsid w:val="006D2330"/>
    <w:rsid w:val="006E0F8B"/>
    <w:rsid w:val="006E12F7"/>
    <w:rsid w:val="006E29D7"/>
    <w:rsid w:val="007068A4"/>
    <w:rsid w:val="00706D67"/>
    <w:rsid w:val="0071196A"/>
    <w:rsid w:val="00713052"/>
    <w:rsid w:val="00721367"/>
    <w:rsid w:val="007231FA"/>
    <w:rsid w:val="00732C67"/>
    <w:rsid w:val="00734418"/>
    <w:rsid w:val="00757826"/>
    <w:rsid w:val="007632B7"/>
    <w:rsid w:val="0076382F"/>
    <w:rsid w:val="00765768"/>
    <w:rsid w:val="00765D10"/>
    <w:rsid w:val="00766AC8"/>
    <w:rsid w:val="00767486"/>
    <w:rsid w:val="0077070E"/>
    <w:rsid w:val="0077296A"/>
    <w:rsid w:val="00777CA4"/>
    <w:rsid w:val="00783602"/>
    <w:rsid w:val="00792DF0"/>
    <w:rsid w:val="0079438F"/>
    <w:rsid w:val="007A3034"/>
    <w:rsid w:val="007A527E"/>
    <w:rsid w:val="007A53E7"/>
    <w:rsid w:val="007A78F7"/>
    <w:rsid w:val="007B3333"/>
    <w:rsid w:val="007B379F"/>
    <w:rsid w:val="007B37D6"/>
    <w:rsid w:val="007B5D30"/>
    <w:rsid w:val="007B7482"/>
    <w:rsid w:val="007D2920"/>
    <w:rsid w:val="007D42DD"/>
    <w:rsid w:val="007E6A37"/>
    <w:rsid w:val="007F1774"/>
    <w:rsid w:val="00811A70"/>
    <w:rsid w:val="0081406E"/>
    <w:rsid w:val="00832211"/>
    <w:rsid w:val="008325F4"/>
    <w:rsid w:val="00832AC8"/>
    <w:rsid w:val="00844981"/>
    <w:rsid w:val="00846FA4"/>
    <w:rsid w:val="008524BA"/>
    <w:rsid w:val="00852B74"/>
    <w:rsid w:val="00856928"/>
    <w:rsid w:val="00865538"/>
    <w:rsid w:val="00870875"/>
    <w:rsid w:val="0088225C"/>
    <w:rsid w:val="0088280F"/>
    <w:rsid w:val="00884026"/>
    <w:rsid w:val="00884C78"/>
    <w:rsid w:val="008859E1"/>
    <w:rsid w:val="00896264"/>
    <w:rsid w:val="008A5D88"/>
    <w:rsid w:val="008A6579"/>
    <w:rsid w:val="008B2851"/>
    <w:rsid w:val="008C000E"/>
    <w:rsid w:val="008D0F2F"/>
    <w:rsid w:val="008D237F"/>
    <w:rsid w:val="008D6B05"/>
    <w:rsid w:val="008E7D2D"/>
    <w:rsid w:val="008F44C0"/>
    <w:rsid w:val="008F5999"/>
    <w:rsid w:val="00903AD6"/>
    <w:rsid w:val="00904D7A"/>
    <w:rsid w:val="00915332"/>
    <w:rsid w:val="009204BB"/>
    <w:rsid w:val="009216E4"/>
    <w:rsid w:val="00931F3C"/>
    <w:rsid w:val="00935918"/>
    <w:rsid w:val="00935EC3"/>
    <w:rsid w:val="00951097"/>
    <w:rsid w:val="00953C1E"/>
    <w:rsid w:val="00955D9E"/>
    <w:rsid w:val="0096210F"/>
    <w:rsid w:val="00962633"/>
    <w:rsid w:val="00963187"/>
    <w:rsid w:val="00963ACF"/>
    <w:rsid w:val="00963D1C"/>
    <w:rsid w:val="00964284"/>
    <w:rsid w:val="0097028A"/>
    <w:rsid w:val="00973BD6"/>
    <w:rsid w:val="00984549"/>
    <w:rsid w:val="00985D28"/>
    <w:rsid w:val="00991BF0"/>
    <w:rsid w:val="009A0FB1"/>
    <w:rsid w:val="009A1FAC"/>
    <w:rsid w:val="009B001A"/>
    <w:rsid w:val="009B1A62"/>
    <w:rsid w:val="009C3CC7"/>
    <w:rsid w:val="009D2057"/>
    <w:rsid w:val="009D3D6C"/>
    <w:rsid w:val="009D5551"/>
    <w:rsid w:val="009D62DB"/>
    <w:rsid w:val="009E3B42"/>
    <w:rsid w:val="00A05B60"/>
    <w:rsid w:val="00A13266"/>
    <w:rsid w:val="00A14FA6"/>
    <w:rsid w:val="00A15D64"/>
    <w:rsid w:val="00A20575"/>
    <w:rsid w:val="00A316AB"/>
    <w:rsid w:val="00A32452"/>
    <w:rsid w:val="00A32BBF"/>
    <w:rsid w:val="00A37444"/>
    <w:rsid w:val="00A4281A"/>
    <w:rsid w:val="00A459CF"/>
    <w:rsid w:val="00A5014D"/>
    <w:rsid w:val="00A53E96"/>
    <w:rsid w:val="00A56F18"/>
    <w:rsid w:val="00A628F8"/>
    <w:rsid w:val="00A62BAA"/>
    <w:rsid w:val="00A66172"/>
    <w:rsid w:val="00A744C3"/>
    <w:rsid w:val="00AA70AB"/>
    <w:rsid w:val="00AB0B9F"/>
    <w:rsid w:val="00AB1713"/>
    <w:rsid w:val="00AB63BE"/>
    <w:rsid w:val="00AC1EBC"/>
    <w:rsid w:val="00AC2599"/>
    <w:rsid w:val="00AC2DE9"/>
    <w:rsid w:val="00AD2C5F"/>
    <w:rsid w:val="00AE1481"/>
    <w:rsid w:val="00AE27F9"/>
    <w:rsid w:val="00AE77DB"/>
    <w:rsid w:val="00AF7453"/>
    <w:rsid w:val="00B00FFF"/>
    <w:rsid w:val="00B06084"/>
    <w:rsid w:val="00B16735"/>
    <w:rsid w:val="00B17EDE"/>
    <w:rsid w:val="00B22585"/>
    <w:rsid w:val="00B33693"/>
    <w:rsid w:val="00B34C53"/>
    <w:rsid w:val="00B37E51"/>
    <w:rsid w:val="00B507A5"/>
    <w:rsid w:val="00B51C1F"/>
    <w:rsid w:val="00B52475"/>
    <w:rsid w:val="00B535DA"/>
    <w:rsid w:val="00B56DCC"/>
    <w:rsid w:val="00B56F54"/>
    <w:rsid w:val="00B638C2"/>
    <w:rsid w:val="00B758AB"/>
    <w:rsid w:val="00B76277"/>
    <w:rsid w:val="00B769D9"/>
    <w:rsid w:val="00B772AB"/>
    <w:rsid w:val="00B80395"/>
    <w:rsid w:val="00B80B56"/>
    <w:rsid w:val="00B86372"/>
    <w:rsid w:val="00BA1C17"/>
    <w:rsid w:val="00BA1D65"/>
    <w:rsid w:val="00BB3B4D"/>
    <w:rsid w:val="00BC20BE"/>
    <w:rsid w:val="00BC351E"/>
    <w:rsid w:val="00BC3F77"/>
    <w:rsid w:val="00BC5635"/>
    <w:rsid w:val="00BC5675"/>
    <w:rsid w:val="00BD081C"/>
    <w:rsid w:val="00BD277B"/>
    <w:rsid w:val="00BD47CA"/>
    <w:rsid w:val="00BD62C7"/>
    <w:rsid w:val="00BE020D"/>
    <w:rsid w:val="00BE354A"/>
    <w:rsid w:val="00BF0066"/>
    <w:rsid w:val="00BF5620"/>
    <w:rsid w:val="00BF5EEF"/>
    <w:rsid w:val="00C02553"/>
    <w:rsid w:val="00C03299"/>
    <w:rsid w:val="00C04EB6"/>
    <w:rsid w:val="00C056F9"/>
    <w:rsid w:val="00C1018C"/>
    <w:rsid w:val="00C1150E"/>
    <w:rsid w:val="00C14D52"/>
    <w:rsid w:val="00C16615"/>
    <w:rsid w:val="00C2586C"/>
    <w:rsid w:val="00C26001"/>
    <w:rsid w:val="00C34E72"/>
    <w:rsid w:val="00C5146E"/>
    <w:rsid w:val="00C56B1F"/>
    <w:rsid w:val="00C61B52"/>
    <w:rsid w:val="00C62745"/>
    <w:rsid w:val="00C654CA"/>
    <w:rsid w:val="00C722C9"/>
    <w:rsid w:val="00C763BD"/>
    <w:rsid w:val="00C779A8"/>
    <w:rsid w:val="00C82E19"/>
    <w:rsid w:val="00C96873"/>
    <w:rsid w:val="00CA1735"/>
    <w:rsid w:val="00CA3C4B"/>
    <w:rsid w:val="00CA7252"/>
    <w:rsid w:val="00CB2C5A"/>
    <w:rsid w:val="00CE0C1C"/>
    <w:rsid w:val="00CE34AF"/>
    <w:rsid w:val="00CF00A4"/>
    <w:rsid w:val="00CF2493"/>
    <w:rsid w:val="00CF25FB"/>
    <w:rsid w:val="00CF614C"/>
    <w:rsid w:val="00D02F34"/>
    <w:rsid w:val="00D13D87"/>
    <w:rsid w:val="00D16590"/>
    <w:rsid w:val="00D20720"/>
    <w:rsid w:val="00D250D9"/>
    <w:rsid w:val="00D27533"/>
    <w:rsid w:val="00D42DA3"/>
    <w:rsid w:val="00D4546D"/>
    <w:rsid w:val="00D47996"/>
    <w:rsid w:val="00D61118"/>
    <w:rsid w:val="00D614F1"/>
    <w:rsid w:val="00D70D50"/>
    <w:rsid w:val="00D71917"/>
    <w:rsid w:val="00DA3A0F"/>
    <w:rsid w:val="00DA4E62"/>
    <w:rsid w:val="00DA6990"/>
    <w:rsid w:val="00DA6F54"/>
    <w:rsid w:val="00DB27BA"/>
    <w:rsid w:val="00DB337A"/>
    <w:rsid w:val="00DC51CB"/>
    <w:rsid w:val="00DD4819"/>
    <w:rsid w:val="00DD4B8A"/>
    <w:rsid w:val="00DD5403"/>
    <w:rsid w:val="00DE1388"/>
    <w:rsid w:val="00DE7501"/>
    <w:rsid w:val="00DF3146"/>
    <w:rsid w:val="00DF4E19"/>
    <w:rsid w:val="00DF57C3"/>
    <w:rsid w:val="00E008D9"/>
    <w:rsid w:val="00E02FE0"/>
    <w:rsid w:val="00E07ABE"/>
    <w:rsid w:val="00E11A3F"/>
    <w:rsid w:val="00E1386E"/>
    <w:rsid w:val="00E2369B"/>
    <w:rsid w:val="00E23EC0"/>
    <w:rsid w:val="00E354AA"/>
    <w:rsid w:val="00E43D54"/>
    <w:rsid w:val="00E442FB"/>
    <w:rsid w:val="00E529DB"/>
    <w:rsid w:val="00E53A5E"/>
    <w:rsid w:val="00E6466A"/>
    <w:rsid w:val="00E72221"/>
    <w:rsid w:val="00E779C3"/>
    <w:rsid w:val="00E83428"/>
    <w:rsid w:val="00E84C58"/>
    <w:rsid w:val="00E873A5"/>
    <w:rsid w:val="00E90D11"/>
    <w:rsid w:val="00E915E5"/>
    <w:rsid w:val="00EB0367"/>
    <w:rsid w:val="00EB4FB9"/>
    <w:rsid w:val="00EB5BC8"/>
    <w:rsid w:val="00EB6821"/>
    <w:rsid w:val="00EC2738"/>
    <w:rsid w:val="00ED7B42"/>
    <w:rsid w:val="00EE3EA5"/>
    <w:rsid w:val="00EE613F"/>
    <w:rsid w:val="00EE6BD1"/>
    <w:rsid w:val="00EF0262"/>
    <w:rsid w:val="00EF0828"/>
    <w:rsid w:val="00EF5FBA"/>
    <w:rsid w:val="00EF6F8B"/>
    <w:rsid w:val="00F03898"/>
    <w:rsid w:val="00F1527A"/>
    <w:rsid w:val="00F2696B"/>
    <w:rsid w:val="00F27821"/>
    <w:rsid w:val="00F4092A"/>
    <w:rsid w:val="00F41F69"/>
    <w:rsid w:val="00F43E41"/>
    <w:rsid w:val="00F4790C"/>
    <w:rsid w:val="00F50C4B"/>
    <w:rsid w:val="00F54C08"/>
    <w:rsid w:val="00F553A2"/>
    <w:rsid w:val="00F6068C"/>
    <w:rsid w:val="00F62F33"/>
    <w:rsid w:val="00F63A52"/>
    <w:rsid w:val="00F730BA"/>
    <w:rsid w:val="00F903BE"/>
    <w:rsid w:val="00F95D04"/>
    <w:rsid w:val="00FA16EC"/>
    <w:rsid w:val="00FA2811"/>
    <w:rsid w:val="00FA4837"/>
    <w:rsid w:val="00FB1D33"/>
    <w:rsid w:val="00FB5E96"/>
    <w:rsid w:val="00FC05A0"/>
    <w:rsid w:val="00FC6758"/>
    <w:rsid w:val="00FD34EA"/>
    <w:rsid w:val="00FE3958"/>
    <w:rsid w:val="00FE3F3E"/>
    <w:rsid w:val="00FE4D52"/>
    <w:rsid w:val="00FE5AEE"/>
    <w:rsid w:val="00FF106B"/>
    <w:rsid w:val="6EB7A09E"/>
    <w:rsid w:val="70E3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544454"/>
    <w:pPr>
      <w:spacing w:after="120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44454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1DE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DE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F1DEE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DEE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3E359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mydss.mo.gov/mhd/pharmacy-clinical-edits-pdl__;!!Mh0G0HQJXw!Ftntf4uiw5MU21pklbS14xE_VFdv-QswbQ7Ygqy9IP_XiQhNonJ128hUnwn9QwwCXMNzvL5FA68XQFxs84P4HiFCuNFmnaql$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c626da6d0afa7058de7cd05ed520ec03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81c9995cbbe671f8198193bc0cf7741c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9992BC-7C11-4A83-A97F-D2E41AE80BFC}">
  <ds:schemaRefs>
    <ds:schemaRef ds:uri="http://schemas.microsoft.com/office/2006/documentManagement/types"/>
    <ds:schemaRef ds:uri="http://schemas.microsoft.com/office/2006/metadata/properties"/>
    <ds:schemaRef ds:uri="f5eefb00-5952-4f7e-8cf8-96f81cfadd01"/>
    <ds:schemaRef ds:uri="http://schemas.openxmlformats.org/package/2006/metadata/core-properties"/>
    <ds:schemaRef ds:uri="aba01ddc-ae9a-4c9e-819c-7140b4239cde"/>
    <ds:schemaRef ds:uri="http://purl.org/dc/elements/1.1/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49BF38-DFFE-4242-8D60-A41422544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646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PDL Edit Template</vt:lpstr>
    </vt:vector>
  </TitlesOfParts>
  <Company>DSS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Calcitonin Gene-Related Peptide (CGRP) Inhibitors PDL Edit</dc:title>
  <dc:creator>DMS</dc:creator>
  <cp:lastModifiedBy>Dolan, John</cp:lastModifiedBy>
  <cp:revision>45</cp:revision>
  <cp:lastPrinted>2018-10-31T20:17:00Z</cp:lastPrinted>
  <dcterms:created xsi:type="dcterms:W3CDTF">2025-09-19T16:48:00Z</dcterms:created>
  <dcterms:modified xsi:type="dcterms:W3CDTF">2025-12-17T18:59:00Z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