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097D30B4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>
        <w:t xml:space="preserve"> </w:t>
      </w:r>
      <w:r w:rsidR="00C93B4E" w:rsidRPr="00C93B4E">
        <w:rPr>
          <w:b w:val="0"/>
          <w:bCs/>
        </w:rPr>
        <w:t>Antiemetics, 5-HT3 and NK1 Injectables PDL Edit</w:t>
      </w:r>
    </w:p>
    <w:p w14:paraId="7AD7FFCE" w14:textId="7FB1CF8F" w:rsidR="004C5767" w:rsidRPr="00BD5441" w:rsidRDefault="004C5767" w:rsidP="00D27533">
      <w:pPr>
        <w:pStyle w:val="tbody"/>
        <w:rPr>
          <w:b w:val="0"/>
          <w:bCs/>
        </w:rPr>
      </w:pPr>
      <w:r w:rsidRPr="00C02553">
        <w:t xml:space="preserve">First Implementation Date: </w:t>
      </w:r>
      <w:r w:rsidR="00BD5441" w:rsidRPr="00BD5441">
        <w:rPr>
          <w:b w:val="0"/>
          <w:bCs/>
        </w:rPr>
        <w:t>October 1, 2020</w:t>
      </w:r>
    </w:p>
    <w:p w14:paraId="4B7D760D" w14:textId="77F84E4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057F84">
        <w:rPr>
          <w:b w:val="0"/>
        </w:rPr>
        <w:t>January 20,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374B6B9D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BB4B93" w:rsidRPr="00F14803">
        <w:rPr>
          <w:b w:val="0"/>
          <w:bCs/>
        </w:rPr>
        <w:t>Revision of</w:t>
      </w:r>
      <w:r w:rsidR="00BB4B93">
        <w:t xml:space="preserve">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4B670DD7" w14:textId="1B12CF22" w:rsidR="00C56B1B" w:rsidRDefault="00C56B1B" w:rsidP="00C56B1B">
      <w:pPr>
        <w:pStyle w:val="Header"/>
        <w:tabs>
          <w:tab w:val="clear" w:pos="4320"/>
          <w:tab w:val="clear" w:pos="8640"/>
        </w:tabs>
        <w:ind w:right="-86"/>
        <w:contextualSpacing/>
        <w:rPr>
          <w:rFonts w:cs="Arial"/>
          <w:sz w:val="20"/>
        </w:rPr>
      </w:pPr>
      <w:r w:rsidRPr="4838BE62">
        <w:rPr>
          <w:rFonts w:cs="Arial"/>
          <w:sz w:val="20"/>
        </w:rPr>
        <w:t>The 5</w:t>
      </w:r>
      <w:r>
        <w:rPr>
          <w:rFonts w:cs="Arial"/>
          <w:sz w:val="20"/>
        </w:rPr>
        <w:t>-</w:t>
      </w:r>
      <w:r w:rsidRPr="4838BE62">
        <w:rPr>
          <w:rFonts w:cs="Arial"/>
          <w:sz w:val="20"/>
        </w:rPr>
        <w:t>HT3 receptor antagonists are indicated for the prevention and treatment of nausea and vomiting associated with chemotherapy and radiotherapy</w:t>
      </w:r>
      <w:r>
        <w:rPr>
          <w:rFonts w:cs="Arial"/>
          <w:sz w:val="20"/>
        </w:rPr>
        <w:t xml:space="preserve">.  </w:t>
      </w:r>
      <w:r w:rsidRPr="4838BE62">
        <w:rPr>
          <w:rFonts w:cs="Arial"/>
          <w:sz w:val="20"/>
        </w:rPr>
        <w:t xml:space="preserve">Neurokinin-1 (NK1) receptor antagonists have indications that include prevention and treatment of nausea and vomiting associated with chemotherapy and radiotherapy and post-operative nausea and vomiting. The management of chemotherapy-induced nausea and vomiting is a critical aspect of treating cancer patients.  The advent of agents within this therapeutic class was a significant breakthrough for the practice of oncology.  However, because of the increased cost of these products, it is essential that therapy is appropriately </w:t>
      </w:r>
      <w:r w:rsidR="00F63353" w:rsidRPr="4838BE62">
        <w:rPr>
          <w:rFonts w:cs="Arial"/>
          <w:sz w:val="20"/>
        </w:rPr>
        <w:t>monitored and</w:t>
      </w:r>
      <w:r w:rsidRPr="4838BE62">
        <w:rPr>
          <w:rFonts w:cs="Arial"/>
          <w:sz w:val="20"/>
        </w:rPr>
        <w:t xml:space="preserve"> prudently utilized for the </w:t>
      </w:r>
      <w:r>
        <w:rPr>
          <w:rFonts w:cs="Arial"/>
          <w:sz w:val="20"/>
        </w:rPr>
        <w:t>appropriate</w:t>
      </w:r>
      <w:r w:rsidRPr="4838BE62">
        <w:rPr>
          <w:rFonts w:cs="Arial"/>
          <w:sz w:val="20"/>
        </w:rPr>
        <w:t xml:space="preserve"> patient population.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4196C345" w14:textId="77777777" w:rsidR="00520EF9" w:rsidRPr="001D7D2E" w:rsidRDefault="00520EF9" w:rsidP="00520EF9">
      <w:pPr>
        <w:pStyle w:val="ListParagraph"/>
      </w:pPr>
      <w:proofErr w:type="spellStart"/>
      <w:r w:rsidRPr="001D7D2E">
        <w:t>Fosaprepitant</w:t>
      </w:r>
      <w:proofErr w:type="spellEnd"/>
    </w:p>
    <w:p w14:paraId="4FCE01D6" w14:textId="77777777" w:rsidR="00520EF9" w:rsidRPr="001D7D2E" w:rsidRDefault="00520EF9" w:rsidP="00520EF9">
      <w:pPr>
        <w:pStyle w:val="ListParagraph"/>
      </w:pPr>
      <w:r w:rsidRPr="001D7D2E">
        <w:t>Ondansetron Amp/Syringe/Vial</w:t>
      </w:r>
    </w:p>
    <w:p w14:paraId="1B21829C" w14:textId="480EEADD" w:rsidR="00846FA4" w:rsidRDefault="00520EF9" w:rsidP="00192664">
      <w:pPr>
        <w:pStyle w:val="ListParagraph"/>
      </w:pPr>
      <w:r w:rsidRPr="001D7D2E">
        <w:t>Palonosetron Vial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55AA665A" w14:textId="77777777" w:rsidR="009843B9" w:rsidRPr="001D7D2E" w:rsidRDefault="009843B9" w:rsidP="009843B9">
      <w:pPr>
        <w:pStyle w:val="ListParagraph"/>
      </w:pPr>
      <w:proofErr w:type="spellStart"/>
      <w:r w:rsidRPr="001D7D2E">
        <w:t>Akynzeo</w:t>
      </w:r>
      <w:proofErr w:type="spellEnd"/>
      <w:r w:rsidRPr="001D7D2E">
        <w:rPr>
          <w:b/>
          <w:vertAlign w:val="superscript"/>
        </w:rPr>
        <w:t>®</w:t>
      </w:r>
      <w:r w:rsidRPr="001D7D2E">
        <w:t xml:space="preserve"> Vial</w:t>
      </w:r>
    </w:p>
    <w:p w14:paraId="05257C24" w14:textId="77777777" w:rsidR="009843B9" w:rsidRPr="001D7D2E" w:rsidRDefault="009843B9" w:rsidP="009843B9">
      <w:pPr>
        <w:pStyle w:val="ListParagraph"/>
      </w:pPr>
      <w:proofErr w:type="spellStart"/>
      <w:r w:rsidRPr="001D7D2E">
        <w:t>Aloxi</w:t>
      </w:r>
      <w:proofErr w:type="spellEnd"/>
      <w:r w:rsidRPr="001D7D2E">
        <w:rPr>
          <w:b/>
          <w:vertAlign w:val="superscript"/>
        </w:rPr>
        <w:t>®</w:t>
      </w:r>
      <w:r w:rsidRPr="001D7D2E">
        <w:t xml:space="preserve"> </w:t>
      </w:r>
    </w:p>
    <w:p w14:paraId="0A1824B5" w14:textId="77777777" w:rsidR="009843B9" w:rsidRPr="000F0217" w:rsidRDefault="009843B9" w:rsidP="009843B9">
      <w:pPr>
        <w:pStyle w:val="ListParagraph"/>
      </w:pPr>
      <w:proofErr w:type="spellStart"/>
      <w:r w:rsidRPr="000F0217">
        <w:t>Aponvie</w:t>
      </w:r>
      <w:proofErr w:type="spellEnd"/>
      <w:r w:rsidRPr="000F0217">
        <w:rPr>
          <w:vertAlign w:val="superscript"/>
        </w:rPr>
        <w:t>™</w:t>
      </w:r>
    </w:p>
    <w:p w14:paraId="5B44ECFF" w14:textId="77777777" w:rsidR="009843B9" w:rsidRPr="00F95E27" w:rsidRDefault="009843B9" w:rsidP="009843B9">
      <w:pPr>
        <w:pStyle w:val="ListParagraph"/>
      </w:pPr>
      <w:proofErr w:type="spellStart"/>
      <w:r w:rsidRPr="001D7D2E">
        <w:t>Barhemsys</w:t>
      </w:r>
      <w:proofErr w:type="spellEnd"/>
      <w:r w:rsidRPr="001D7D2E">
        <w:rPr>
          <w:vertAlign w:val="superscript"/>
        </w:rPr>
        <w:t>®</w:t>
      </w:r>
    </w:p>
    <w:p w14:paraId="7E44EA25" w14:textId="77777777" w:rsidR="009843B9" w:rsidRPr="002E17F2" w:rsidRDefault="009843B9" w:rsidP="009843B9">
      <w:pPr>
        <w:pStyle w:val="ListParagraph"/>
        <w:rPr>
          <w:b/>
          <w:bCs/>
          <w:color w:val="1F497D" w:themeColor="text2"/>
        </w:rPr>
      </w:pPr>
      <w:proofErr w:type="spellStart"/>
      <w:r w:rsidRPr="002E17F2">
        <w:rPr>
          <w:b/>
          <w:bCs/>
          <w:color w:val="1F497D" w:themeColor="text2"/>
        </w:rPr>
        <w:t>Cinvanti</w:t>
      </w:r>
      <w:proofErr w:type="spellEnd"/>
      <w:r w:rsidRPr="002E17F2">
        <w:rPr>
          <w:b/>
          <w:bCs/>
          <w:color w:val="1F497D" w:themeColor="text2"/>
          <w:vertAlign w:val="superscript"/>
        </w:rPr>
        <w:t>®</w:t>
      </w:r>
    </w:p>
    <w:p w14:paraId="34D782C8" w14:textId="77777777" w:rsidR="009843B9" w:rsidRDefault="009843B9" w:rsidP="009843B9">
      <w:pPr>
        <w:pStyle w:val="ListParagraph"/>
      </w:pPr>
      <w:r w:rsidRPr="001D7D2E">
        <w:t>Emend</w:t>
      </w:r>
      <w:r w:rsidRPr="001D7D2E">
        <w:rPr>
          <w:vertAlign w:val="superscript"/>
        </w:rPr>
        <w:t xml:space="preserve">® </w:t>
      </w:r>
      <w:r w:rsidRPr="001D7D2E">
        <w:t>Vial</w:t>
      </w:r>
    </w:p>
    <w:p w14:paraId="4AC0F784" w14:textId="77777777" w:rsidR="009843B9" w:rsidRPr="00957B19" w:rsidRDefault="009843B9" w:rsidP="009843B9">
      <w:pPr>
        <w:pStyle w:val="ListParagraph"/>
      </w:pPr>
      <w:proofErr w:type="spellStart"/>
      <w:r w:rsidRPr="00957B19">
        <w:t>Focinvez</w:t>
      </w:r>
      <w:proofErr w:type="spellEnd"/>
      <w:r w:rsidRPr="00957B19">
        <w:t>™ Vial</w:t>
      </w:r>
    </w:p>
    <w:p w14:paraId="67E45A05" w14:textId="77777777" w:rsidR="009843B9" w:rsidRPr="001D7D2E" w:rsidRDefault="009843B9" w:rsidP="009843B9">
      <w:pPr>
        <w:pStyle w:val="ListParagraph"/>
      </w:pPr>
      <w:proofErr w:type="spellStart"/>
      <w:r w:rsidRPr="001D7D2E">
        <w:t>Granisetron</w:t>
      </w:r>
      <w:proofErr w:type="spellEnd"/>
      <w:r w:rsidRPr="001D7D2E">
        <w:t xml:space="preserve"> Vial</w:t>
      </w:r>
    </w:p>
    <w:p w14:paraId="3E5E4E34" w14:textId="77777777" w:rsidR="009843B9" w:rsidRDefault="009843B9" w:rsidP="009843B9">
      <w:pPr>
        <w:pStyle w:val="ListParagraph"/>
      </w:pPr>
      <w:r w:rsidRPr="001D7D2E">
        <w:t>Palonosetron Syringe</w:t>
      </w:r>
    </w:p>
    <w:p w14:paraId="239137E4" w14:textId="3510737C" w:rsidR="0083723D" w:rsidRPr="0083723D" w:rsidRDefault="0083723D" w:rsidP="009843B9">
      <w:pPr>
        <w:pStyle w:val="ListParagraph"/>
        <w:rPr>
          <w:b/>
          <w:bCs/>
          <w:color w:val="1F497D" w:themeColor="text2"/>
        </w:rPr>
      </w:pPr>
      <w:proofErr w:type="spellStart"/>
      <w:r w:rsidRPr="0083723D">
        <w:rPr>
          <w:b/>
          <w:bCs/>
          <w:color w:val="1F497D" w:themeColor="text2"/>
        </w:rPr>
        <w:t>Posfrea</w:t>
      </w:r>
      <w:proofErr w:type="spellEnd"/>
      <w:r w:rsidRPr="0083723D">
        <w:rPr>
          <w:b/>
          <w:bCs/>
          <w:color w:val="1F497D" w:themeColor="text2"/>
        </w:rPr>
        <w:t>™</w:t>
      </w:r>
    </w:p>
    <w:p w14:paraId="42EAF94E" w14:textId="77777777" w:rsidR="009843B9" w:rsidRPr="000E09A3" w:rsidRDefault="009843B9" w:rsidP="009843B9">
      <w:pPr>
        <w:pStyle w:val="ListParagraph"/>
      </w:pPr>
      <w:proofErr w:type="spellStart"/>
      <w:r w:rsidRPr="001D7D2E">
        <w:t>Sustol</w:t>
      </w:r>
      <w:proofErr w:type="spellEnd"/>
      <w:r w:rsidRPr="001D7D2E">
        <w:rPr>
          <w:vertAlign w:val="superscript"/>
        </w:rPr>
        <w:t>®</w:t>
      </w:r>
    </w:p>
    <w:p w14:paraId="079F807A" w14:textId="3AFC8F15" w:rsidR="00846FA4" w:rsidRPr="00696E3A" w:rsidRDefault="009843B9" w:rsidP="009843B9">
      <w:pPr>
        <w:pStyle w:val="ListParagraph"/>
      </w:pPr>
      <w:r w:rsidRPr="001D7D2E">
        <w:t>Zofran</w:t>
      </w:r>
      <w:r w:rsidRPr="001D7D2E">
        <w:rPr>
          <w:vertAlign w:val="superscript"/>
        </w:rPr>
        <w:t>®</w:t>
      </w:r>
      <w:r w:rsidRPr="001D7D2E">
        <w:t xml:space="preserve"> Vial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5C310654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CE7DD5" w:rsidRPr="005F427A">
        <w:rPr>
          <w:rFonts w:cs="Arial"/>
          <w:szCs w:val="20"/>
        </w:rPr>
        <w:t>Antiemetic</w:t>
      </w:r>
      <w:r w:rsidR="00CE7DD5">
        <w:rPr>
          <w:rFonts w:cs="Arial"/>
          <w:szCs w:val="20"/>
        </w:rPr>
        <w:t>s,</w:t>
      </w:r>
      <w:r w:rsidR="00CE7DD5" w:rsidRPr="005F427A">
        <w:rPr>
          <w:rFonts w:cs="Arial"/>
          <w:szCs w:val="20"/>
        </w:rPr>
        <w:t xml:space="preserve"> 5-HT3</w:t>
      </w:r>
      <w:r w:rsidR="00CE7DD5">
        <w:rPr>
          <w:rFonts w:cs="Arial"/>
          <w:szCs w:val="20"/>
        </w:rPr>
        <w:t xml:space="preserve"> and NK1 Injectables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3A775806" w14:textId="77777777" w:rsidR="002F2E1C" w:rsidRDefault="002F2E1C" w:rsidP="002F2E1C">
      <w:pPr>
        <w:pStyle w:val="ListBullet2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meet one of the following:</w:t>
      </w:r>
    </w:p>
    <w:p w14:paraId="0F78BA32" w14:textId="77777777" w:rsidR="002F2E1C" w:rsidRPr="00711699" w:rsidRDefault="002F2E1C" w:rsidP="002F2E1C">
      <w:pPr>
        <w:pStyle w:val="ListBullet2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711699">
        <w:rPr>
          <w:rFonts w:ascii="Arial" w:hAnsi="Arial" w:cs="Arial"/>
          <w:sz w:val="20"/>
          <w:szCs w:val="20"/>
        </w:rPr>
        <w:t xml:space="preserve">Claim is for a preferred </w:t>
      </w:r>
      <w:proofErr w:type="gramStart"/>
      <w:r w:rsidRPr="00711699">
        <w:rPr>
          <w:rFonts w:ascii="Arial" w:hAnsi="Arial" w:cs="Arial"/>
          <w:sz w:val="20"/>
          <w:szCs w:val="20"/>
        </w:rPr>
        <w:t>agent;</w:t>
      </w:r>
      <w:proofErr w:type="gramEnd"/>
      <w:r w:rsidRPr="00711699">
        <w:rPr>
          <w:rFonts w:ascii="Arial" w:hAnsi="Arial" w:cs="Arial"/>
          <w:sz w:val="20"/>
          <w:szCs w:val="20"/>
        </w:rPr>
        <w:t xml:space="preserve"> </w:t>
      </w:r>
      <w:r w:rsidRPr="00711699">
        <w:rPr>
          <w:rFonts w:ascii="Arial" w:hAnsi="Arial" w:cs="Arial"/>
          <w:b/>
          <w:bCs/>
          <w:sz w:val="20"/>
          <w:szCs w:val="20"/>
        </w:rPr>
        <w:t>OR</w:t>
      </w:r>
    </w:p>
    <w:p w14:paraId="258BC5BD" w14:textId="77777777" w:rsidR="002F2E1C" w:rsidRPr="00425A60" w:rsidRDefault="002F2E1C" w:rsidP="002F2E1C">
      <w:pPr>
        <w:pStyle w:val="ListBullet2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5F427A">
        <w:rPr>
          <w:rFonts w:ascii="Arial" w:hAnsi="Arial" w:cs="Arial"/>
          <w:sz w:val="20"/>
          <w:szCs w:val="20"/>
        </w:rPr>
        <w:t xml:space="preserve">Failure to achieve desired therapeutic outcomes with a </w:t>
      </w:r>
      <w:r w:rsidRPr="005F427A">
        <w:rPr>
          <w:rFonts w:ascii="Arial" w:hAnsi="Arial" w:cs="Arial"/>
          <w:noProof/>
          <w:sz w:val="20"/>
          <w:szCs w:val="20"/>
        </w:rPr>
        <w:t>trial</w:t>
      </w:r>
      <w:r w:rsidRPr="005F427A">
        <w:rPr>
          <w:rFonts w:ascii="Arial" w:hAnsi="Arial" w:cs="Arial"/>
          <w:sz w:val="20"/>
          <w:szCs w:val="20"/>
        </w:rPr>
        <w:t xml:space="preserve"> on </w:t>
      </w:r>
      <w:r>
        <w:rPr>
          <w:rFonts w:ascii="Arial" w:hAnsi="Arial" w:cs="Arial"/>
          <w:sz w:val="20"/>
          <w:szCs w:val="20"/>
        </w:rPr>
        <w:t>2</w:t>
      </w:r>
      <w:r w:rsidRPr="005F427A">
        <w:rPr>
          <w:rFonts w:ascii="Arial" w:hAnsi="Arial" w:cs="Arial"/>
          <w:sz w:val="20"/>
          <w:szCs w:val="20"/>
        </w:rPr>
        <w:t xml:space="preserve"> or more preferred agents </w:t>
      </w:r>
      <w:r w:rsidRPr="00425A60">
        <w:rPr>
          <w:rFonts w:ascii="Arial" w:hAnsi="Arial" w:cs="Arial"/>
          <w:sz w:val="20"/>
          <w:szCs w:val="20"/>
        </w:rPr>
        <w:t>in the past 3 months</w:t>
      </w:r>
      <w:r>
        <w:rPr>
          <w:rFonts w:ascii="Arial" w:hAnsi="Arial" w:cs="Arial"/>
          <w:sz w:val="20"/>
          <w:szCs w:val="20"/>
        </w:rPr>
        <w:t>:</w:t>
      </w:r>
    </w:p>
    <w:p w14:paraId="7E2DB8A0" w14:textId="77777777" w:rsidR="002F2E1C" w:rsidRPr="005F427A" w:rsidRDefault="002F2E1C" w:rsidP="002F2E1C">
      <w:pPr>
        <w:pStyle w:val="ListBullet3"/>
        <w:numPr>
          <w:ilvl w:val="2"/>
          <w:numId w:val="16"/>
        </w:numPr>
        <w:rPr>
          <w:rFonts w:cs="Arial"/>
          <w:szCs w:val="20"/>
        </w:rPr>
      </w:pPr>
      <w:r w:rsidRPr="005F427A">
        <w:rPr>
          <w:rFonts w:cs="Arial"/>
          <w:noProof/>
          <w:szCs w:val="20"/>
        </w:rPr>
        <w:t>Documented</w:t>
      </w:r>
      <w:r w:rsidRPr="005F427A">
        <w:rPr>
          <w:rFonts w:cs="Arial"/>
          <w:szCs w:val="20"/>
        </w:rPr>
        <w:t xml:space="preserve"> trial period for preferred agents</w:t>
      </w:r>
      <w:r>
        <w:rPr>
          <w:rFonts w:cs="Arial"/>
          <w:szCs w:val="20"/>
        </w:rPr>
        <w:t xml:space="preserve">; </w:t>
      </w:r>
      <w:r w:rsidRPr="006D7D1A">
        <w:rPr>
          <w:rFonts w:cs="Arial"/>
          <w:b/>
          <w:szCs w:val="20"/>
        </w:rPr>
        <w:t>OR</w:t>
      </w:r>
    </w:p>
    <w:p w14:paraId="3B10D194" w14:textId="77777777" w:rsidR="002F2E1C" w:rsidRDefault="002F2E1C" w:rsidP="002F2E1C">
      <w:pPr>
        <w:pStyle w:val="ListBullet3"/>
        <w:numPr>
          <w:ilvl w:val="2"/>
          <w:numId w:val="16"/>
        </w:numPr>
        <w:rPr>
          <w:rFonts w:cs="Arial"/>
          <w:szCs w:val="20"/>
        </w:rPr>
      </w:pPr>
      <w:r w:rsidRPr="005F427A">
        <w:rPr>
          <w:rFonts w:cs="Arial"/>
          <w:szCs w:val="20"/>
        </w:rPr>
        <w:t>Documented ADE/ADR to preferred agents</w:t>
      </w:r>
      <w:r>
        <w:rPr>
          <w:rFonts w:cs="Arial"/>
          <w:szCs w:val="20"/>
        </w:rPr>
        <w:t>.</w:t>
      </w:r>
    </w:p>
    <w:p w14:paraId="0F44F38F" w14:textId="77777777" w:rsidR="002F2E1C" w:rsidRPr="00105B18" w:rsidRDefault="002F2E1C" w:rsidP="002F2E1C">
      <w:pPr>
        <w:pStyle w:val="ListBullet3"/>
        <w:numPr>
          <w:ilvl w:val="0"/>
          <w:numId w:val="16"/>
        </w:numPr>
        <w:rPr>
          <w:rFonts w:cs="Arial"/>
          <w:szCs w:val="20"/>
        </w:rPr>
      </w:pPr>
      <w:r w:rsidRPr="00105B18">
        <w:rPr>
          <w:rFonts w:cs="Arial"/>
          <w:szCs w:val="20"/>
        </w:rPr>
        <w:t xml:space="preserve">Additional approval criteria for </w:t>
      </w:r>
      <w:proofErr w:type="spellStart"/>
      <w:r w:rsidRPr="00105B18">
        <w:rPr>
          <w:rFonts w:cs="Arial"/>
          <w:szCs w:val="20"/>
        </w:rPr>
        <w:t>Focinvez</w:t>
      </w:r>
      <w:proofErr w:type="spellEnd"/>
      <w:r w:rsidRPr="00105B18">
        <w:rPr>
          <w:rFonts w:cs="Arial"/>
          <w:szCs w:val="20"/>
        </w:rPr>
        <w:t xml:space="preserve"> – Reason of medical necessity as to why generic reconstituted </w:t>
      </w:r>
      <w:proofErr w:type="spellStart"/>
      <w:r w:rsidRPr="00105B18">
        <w:rPr>
          <w:rFonts w:cs="Arial"/>
          <w:szCs w:val="20"/>
        </w:rPr>
        <w:t>fosaprepitant</w:t>
      </w:r>
      <w:proofErr w:type="spellEnd"/>
      <w:r w:rsidRPr="00105B18">
        <w:rPr>
          <w:rFonts w:cs="Arial"/>
          <w:szCs w:val="20"/>
        </w:rPr>
        <w:t xml:space="preserve"> cannot be utilized.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34E4373D" w14:textId="77777777" w:rsidR="002B11BF" w:rsidRDefault="002B11BF" w:rsidP="002B11BF">
      <w:pPr>
        <w:pStyle w:val="ListBullet2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Therapy will deny </w:t>
      </w:r>
      <w:proofErr w:type="gramStart"/>
      <w:r>
        <w:rPr>
          <w:rFonts w:ascii="Arial" w:hAnsi="Arial" w:cs="Arial"/>
          <w:sz w:val="20"/>
          <w:szCs w:val="20"/>
        </w:rPr>
        <w:t>with</w:t>
      </w:r>
      <w:proofErr w:type="gramEnd"/>
      <w:r>
        <w:rPr>
          <w:rFonts w:ascii="Arial" w:hAnsi="Arial" w:cs="Arial"/>
          <w:sz w:val="20"/>
          <w:szCs w:val="20"/>
        </w:rPr>
        <w:t xml:space="preserve"> presence of one of the following:</w:t>
      </w:r>
    </w:p>
    <w:p w14:paraId="3227DF86" w14:textId="77777777" w:rsidR="002B11BF" w:rsidRPr="0030206B" w:rsidRDefault="002B11BF" w:rsidP="002B11BF">
      <w:pPr>
        <w:pStyle w:val="ListBullet2"/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</w:t>
      </w:r>
      <w:r w:rsidRPr="005F427A">
        <w:rPr>
          <w:rFonts w:ascii="Arial" w:hAnsi="Arial" w:cs="Arial"/>
          <w:sz w:val="20"/>
          <w:szCs w:val="20"/>
        </w:rPr>
        <w:t xml:space="preserve"> approval criteria are</w:t>
      </w:r>
      <w:r>
        <w:rPr>
          <w:rFonts w:ascii="Arial" w:hAnsi="Arial" w:cs="Arial"/>
          <w:sz w:val="20"/>
          <w:szCs w:val="20"/>
        </w:rPr>
        <w:t xml:space="preserve"> not</w:t>
      </w:r>
      <w:r w:rsidRPr="005F427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F427A">
        <w:rPr>
          <w:rFonts w:ascii="Arial" w:hAnsi="Arial" w:cs="Arial"/>
          <w:sz w:val="20"/>
          <w:szCs w:val="20"/>
        </w:rPr>
        <w:t>met</w:t>
      </w:r>
      <w:r>
        <w:rPr>
          <w:rFonts w:ascii="Arial" w:hAnsi="Arial" w:cs="Arial"/>
          <w:sz w:val="20"/>
          <w:szCs w:val="20"/>
        </w:rPr>
        <w:t>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30206B">
        <w:rPr>
          <w:rFonts w:ascii="Arial" w:hAnsi="Arial" w:cs="Arial"/>
          <w:b/>
          <w:bCs/>
          <w:sz w:val="20"/>
          <w:szCs w:val="20"/>
        </w:rPr>
        <w:t>OR</w:t>
      </w:r>
    </w:p>
    <w:p w14:paraId="3EB6F2A5" w14:textId="77777777" w:rsidR="002B11BF" w:rsidRPr="00FC675C" w:rsidRDefault="002B11BF" w:rsidP="002B11BF">
      <w:pPr>
        <w:pStyle w:val="ListBullet2"/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r w:rsidRPr="00FC675C">
        <w:rPr>
          <w:rFonts w:ascii="Arial" w:hAnsi="Arial" w:cs="Arial"/>
          <w:sz w:val="20"/>
          <w:szCs w:val="20"/>
        </w:rPr>
        <w:t xml:space="preserve">Claim exceeds </w:t>
      </w:r>
      <w:r>
        <w:rPr>
          <w:rFonts w:ascii="Arial" w:hAnsi="Arial" w:cs="Arial"/>
          <w:sz w:val="20"/>
          <w:szCs w:val="20"/>
        </w:rPr>
        <w:t xml:space="preserve">maximum </w:t>
      </w:r>
      <w:r w:rsidRPr="00FC675C">
        <w:rPr>
          <w:rFonts w:ascii="Arial" w:hAnsi="Arial" w:cs="Arial"/>
          <w:sz w:val="20"/>
          <w:szCs w:val="20"/>
        </w:rPr>
        <w:t>dosing</w:t>
      </w:r>
      <w:r>
        <w:rPr>
          <w:rFonts w:ascii="Arial" w:hAnsi="Arial" w:cs="Arial"/>
          <w:sz w:val="20"/>
          <w:szCs w:val="20"/>
        </w:rPr>
        <w:t xml:space="preserve"> limitations for the following</w:t>
      </w:r>
      <w:r w:rsidRPr="00FC675C">
        <w:rPr>
          <w:rFonts w:ascii="Arial" w:hAnsi="Arial" w:cs="Arial"/>
          <w:sz w:val="20"/>
          <w:szCs w:val="20"/>
        </w:rPr>
        <w:t>:</w:t>
      </w:r>
    </w:p>
    <w:p w14:paraId="0B876B0D" w14:textId="77777777" w:rsidR="002B11BF" w:rsidRPr="00E061C0" w:rsidRDefault="002B11BF" w:rsidP="002B11BF">
      <w:pPr>
        <w:rPr>
          <w:vanish/>
          <w:highlight w:val="yellow"/>
        </w:rPr>
      </w:pPr>
    </w:p>
    <w:tbl>
      <w:tblPr>
        <w:tblW w:w="828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030"/>
        <w:gridCol w:w="2670"/>
      </w:tblGrid>
      <w:tr w:rsidR="002B11BF" w:rsidRPr="00E061C0" w14:paraId="717B24E1" w14:textId="77777777" w:rsidTr="00F14803">
        <w:tc>
          <w:tcPr>
            <w:tcW w:w="2580" w:type="dxa"/>
            <w:shd w:val="clear" w:color="auto" w:fill="F4B083"/>
            <w:vAlign w:val="bottom"/>
          </w:tcPr>
          <w:p w14:paraId="652293A8" w14:textId="77777777" w:rsidR="002B11BF" w:rsidRPr="00E061C0" w:rsidRDefault="002B11BF" w:rsidP="00C4003D">
            <w:pPr>
              <w:rPr>
                <w:rFonts w:cs="Arial"/>
                <w:szCs w:val="20"/>
              </w:rPr>
            </w:pPr>
            <w:r w:rsidRPr="341ABA1F">
              <w:rPr>
                <w:rFonts w:cs="Arial"/>
                <w:b/>
                <w:bCs/>
                <w:szCs w:val="20"/>
              </w:rPr>
              <w:t>Drug Description</w:t>
            </w:r>
          </w:p>
        </w:tc>
        <w:tc>
          <w:tcPr>
            <w:tcW w:w="3030" w:type="dxa"/>
            <w:shd w:val="clear" w:color="auto" w:fill="F4B083"/>
            <w:vAlign w:val="bottom"/>
          </w:tcPr>
          <w:p w14:paraId="7A878E3C" w14:textId="77777777" w:rsidR="002B11BF" w:rsidRPr="00E061C0" w:rsidRDefault="002B11BF" w:rsidP="00C4003D">
            <w:pPr>
              <w:rPr>
                <w:rFonts w:cs="Arial"/>
                <w:szCs w:val="20"/>
              </w:rPr>
            </w:pPr>
            <w:r w:rsidRPr="341ABA1F">
              <w:rPr>
                <w:rFonts w:cs="Arial"/>
                <w:b/>
                <w:bCs/>
                <w:szCs w:val="20"/>
              </w:rPr>
              <w:t>Generic Equivalent</w:t>
            </w:r>
          </w:p>
        </w:tc>
        <w:tc>
          <w:tcPr>
            <w:tcW w:w="2670" w:type="dxa"/>
            <w:shd w:val="clear" w:color="auto" w:fill="F4B083"/>
          </w:tcPr>
          <w:p w14:paraId="3D689DD1" w14:textId="77777777" w:rsidR="002B11BF" w:rsidRPr="00E061C0" w:rsidRDefault="002B11BF" w:rsidP="00C4003D">
            <w:pPr>
              <w:rPr>
                <w:rFonts w:cs="Arial"/>
                <w:b/>
                <w:bCs/>
                <w:szCs w:val="20"/>
              </w:rPr>
            </w:pPr>
            <w:r w:rsidRPr="341ABA1F">
              <w:rPr>
                <w:rFonts w:cs="Arial"/>
                <w:b/>
                <w:bCs/>
                <w:szCs w:val="20"/>
              </w:rPr>
              <w:t xml:space="preserve">Max </w:t>
            </w:r>
            <w:r>
              <w:rPr>
                <w:rFonts w:cs="Arial"/>
                <w:b/>
                <w:bCs/>
                <w:szCs w:val="20"/>
              </w:rPr>
              <w:t>Dosing Limitations</w:t>
            </w:r>
          </w:p>
        </w:tc>
      </w:tr>
      <w:tr w:rsidR="002B11BF" w:rsidRPr="00E061C0" w14:paraId="11FFB845" w14:textId="77777777" w:rsidTr="00C4003D">
        <w:tc>
          <w:tcPr>
            <w:tcW w:w="2580" w:type="dxa"/>
            <w:vAlign w:val="center"/>
          </w:tcPr>
          <w:p w14:paraId="1C42B04B" w14:textId="77777777" w:rsidR="002B11BF" w:rsidRPr="009A4CAC" w:rsidRDefault="002B11BF" w:rsidP="00C4003D">
            <w:pPr>
              <w:rPr>
                <w:rFonts w:cs="Arial"/>
                <w:caps/>
                <w:szCs w:val="20"/>
              </w:rPr>
            </w:pPr>
            <w:r w:rsidRPr="009A4CAC">
              <w:rPr>
                <w:rFonts w:cs="Arial"/>
                <w:caps/>
                <w:szCs w:val="20"/>
              </w:rPr>
              <w:t>Aloxi 0.25 mg/5 ml</w:t>
            </w:r>
          </w:p>
        </w:tc>
        <w:tc>
          <w:tcPr>
            <w:tcW w:w="3030" w:type="dxa"/>
            <w:vAlign w:val="center"/>
          </w:tcPr>
          <w:p w14:paraId="4571FE18" w14:textId="77777777" w:rsidR="002B11BF" w:rsidRPr="009A4CAC" w:rsidRDefault="002B11BF" w:rsidP="00C4003D">
            <w:pPr>
              <w:rPr>
                <w:rFonts w:cs="Arial"/>
                <w:caps/>
                <w:szCs w:val="20"/>
              </w:rPr>
            </w:pPr>
            <w:r w:rsidRPr="009A4CAC">
              <w:rPr>
                <w:rFonts w:cs="Arial"/>
                <w:caps/>
                <w:szCs w:val="20"/>
              </w:rPr>
              <w:t>Palonosetron</w:t>
            </w:r>
          </w:p>
        </w:tc>
        <w:tc>
          <w:tcPr>
            <w:tcW w:w="2670" w:type="dxa"/>
            <w:vAlign w:val="center"/>
          </w:tcPr>
          <w:p w14:paraId="412DB82F" w14:textId="77777777" w:rsidR="002B11BF" w:rsidRPr="00E061C0" w:rsidRDefault="002B11BF" w:rsidP="00C4003D">
            <w:pPr>
              <w:rPr>
                <w:rFonts w:cs="Arial"/>
                <w:szCs w:val="20"/>
              </w:rPr>
            </w:pPr>
            <w:r w:rsidRPr="341ABA1F">
              <w:rPr>
                <w:rFonts w:cs="Arial"/>
                <w:szCs w:val="20"/>
              </w:rPr>
              <w:t>5 m</w:t>
            </w:r>
            <w:r>
              <w:rPr>
                <w:rFonts w:cs="Arial"/>
                <w:szCs w:val="20"/>
              </w:rPr>
              <w:t>L</w:t>
            </w:r>
            <w:r w:rsidRPr="0053204A">
              <w:rPr>
                <w:rFonts w:cs="Arial"/>
                <w:szCs w:val="20"/>
              </w:rPr>
              <w:t xml:space="preserve"> per day</w:t>
            </w:r>
          </w:p>
        </w:tc>
      </w:tr>
    </w:tbl>
    <w:p w14:paraId="4D21EAF1" w14:textId="77777777" w:rsidR="001E4CBA" w:rsidRPr="002C2C41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501B2E6" w14:textId="77777777" w:rsidR="00D96CAE" w:rsidRPr="00425A60" w:rsidRDefault="00343D6B" w:rsidP="00D96CAE">
      <w:pPr>
        <w:rPr>
          <w:rFonts w:cs="Arial"/>
          <w:spacing w:val="-3"/>
          <w:szCs w:val="22"/>
        </w:rPr>
      </w:pPr>
      <w:r w:rsidRPr="00696E3A">
        <w:rPr>
          <w:b/>
          <w:bCs/>
        </w:rPr>
        <w:t>Default Approval Period:</w:t>
      </w:r>
      <w:r w:rsidR="00973BD6">
        <w:t xml:space="preserve"> </w:t>
      </w:r>
      <w:r w:rsidR="00D96CAE" w:rsidRPr="00425A60">
        <w:rPr>
          <w:rFonts w:cs="Arial"/>
          <w:spacing w:val="-3"/>
          <w:szCs w:val="22"/>
        </w:rPr>
        <w:t>6 months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0310E02B" w14:textId="77777777" w:rsidR="00EA305C" w:rsidRPr="001D7D2E" w:rsidRDefault="00EA305C" w:rsidP="00EA305C">
      <w:pPr>
        <w:pStyle w:val="List2"/>
        <w:numPr>
          <w:ilvl w:val="0"/>
          <w:numId w:val="18"/>
        </w:numPr>
        <w:rPr>
          <w:rFonts w:cs="Arial"/>
          <w:szCs w:val="20"/>
        </w:rPr>
      </w:pPr>
      <w:r w:rsidRPr="001D7D2E">
        <w:rPr>
          <w:rFonts w:cs="Arial"/>
          <w:szCs w:val="20"/>
        </w:rPr>
        <w:t>Evidence-Based Medicine and Fiscal Analysis: “Antiemetic Agents – Therapeutic Class Review”, Conduent Business Services, L.L.C., Richmond, VA; November 2021.</w:t>
      </w:r>
    </w:p>
    <w:p w14:paraId="397472BD" w14:textId="77777777" w:rsidR="00EA305C" w:rsidRPr="00F90EBB" w:rsidRDefault="00EA305C" w:rsidP="00EA305C">
      <w:pPr>
        <w:pStyle w:val="List2"/>
        <w:numPr>
          <w:ilvl w:val="0"/>
          <w:numId w:val="18"/>
        </w:numPr>
        <w:rPr>
          <w:rFonts w:cs="Arial"/>
          <w:szCs w:val="20"/>
        </w:rPr>
      </w:pPr>
      <w:bookmarkStart w:id="2" w:name="_Hlk28960310"/>
      <w:r w:rsidRPr="00F90EBB">
        <w:rPr>
          <w:rFonts w:cs="Arial"/>
          <w:szCs w:val="20"/>
        </w:rPr>
        <w:t xml:space="preserve">Evidence-Based Medicine Analysis: “Antiemetics – 5-HT3, THC Derivatives, NK1 &amp; Other Agents”, UMKC-DIC; </w:t>
      </w:r>
      <w:r>
        <w:rPr>
          <w:rFonts w:cs="Arial"/>
          <w:szCs w:val="20"/>
        </w:rPr>
        <w:t>September</w:t>
      </w:r>
      <w:r w:rsidRPr="00F90EBB">
        <w:rPr>
          <w:rFonts w:cs="Arial"/>
          <w:szCs w:val="20"/>
        </w:rPr>
        <w:t xml:space="preserve"> 202</w:t>
      </w:r>
      <w:r>
        <w:rPr>
          <w:rFonts w:cs="Arial"/>
          <w:szCs w:val="20"/>
        </w:rPr>
        <w:t>4</w:t>
      </w:r>
      <w:r w:rsidRPr="00F90EBB">
        <w:rPr>
          <w:rFonts w:cs="Arial"/>
          <w:szCs w:val="20"/>
        </w:rPr>
        <w:t>.</w:t>
      </w:r>
    </w:p>
    <w:bookmarkEnd w:id="2"/>
    <w:p w14:paraId="4362A171" w14:textId="0FED609A" w:rsidR="00EA305C" w:rsidRPr="00F90EBB" w:rsidRDefault="00EA305C" w:rsidP="00EA305C">
      <w:pPr>
        <w:pStyle w:val="List2"/>
        <w:numPr>
          <w:ilvl w:val="0"/>
          <w:numId w:val="18"/>
        </w:numPr>
        <w:rPr>
          <w:rFonts w:cs="Arial"/>
        </w:rPr>
      </w:pPr>
      <w:r w:rsidRPr="00711D14">
        <w:rPr>
          <w:rFonts w:cs="Arial"/>
        </w:rPr>
        <w:t>USPDI, Micromedex; 202</w:t>
      </w:r>
      <w:r>
        <w:rPr>
          <w:rFonts w:cs="Arial"/>
        </w:rPr>
        <w:t>5</w:t>
      </w:r>
      <w:r w:rsidRPr="00711D14">
        <w:rPr>
          <w:rFonts w:cs="Arial"/>
        </w:rPr>
        <w:t>.</w:t>
      </w:r>
    </w:p>
    <w:p w14:paraId="3FA1E7DB" w14:textId="54D83FC6" w:rsidR="00777CA4" w:rsidRPr="00EA305C" w:rsidRDefault="00EA305C" w:rsidP="00EA305C">
      <w:pPr>
        <w:numPr>
          <w:ilvl w:val="0"/>
          <w:numId w:val="18"/>
        </w:numPr>
        <w:rPr>
          <w:rFonts w:cs="Arial"/>
          <w:szCs w:val="20"/>
        </w:rPr>
      </w:pPr>
      <w:bookmarkStart w:id="3" w:name="_Hlk45607827"/>
      <w:r w:rsidRPr="00711D14">
        <w:rPr>
          <w:rFonts w:cs="Arial"/>
          <w:szCs w:val="20"/>
        </w:rPr>
        <w:t xml:space="preserve">Facts and Comparisons </w:t>
      </w:r>
      <w:proofErr w:type="spellStart"/>
      <w:r w:rsidRPr="00711D14">
        <w:rPr>
          <w:rFonts w:cs="Arial"/>
          <w:szCs w:val="20"/>
        </w:rPr>
        <w:t>eAnswers</w:t>
      </w:r>
      <w:proofErr w:type="spellEnd"/>
      <w:r w:rsidRPr="00711D14">
        <w:rPr>
          <w:rFonts w:cs="Arial"/>
          <w:szCs w:val="20"/>
        </w:rPr>
        <w:t xml:space="preserve"> (online); 202</w:t>
      </w:r>
      <w:r>
        <w:rPr>
          <w:rFonts w:cs="Arial"/>
          <w:szCs w:val="20"/>
        </w:rPr>
        <w:t>5</w:t>
      </w:r>
      <w:r w:rsidRPr="00711D14">
        <w:rPr>
          <w:rFonts w:cs="Arial"/>
          <w:szCs w:val="20"/>
        </w:rPr>
        <w:t xml:space="preserve"> Clinical Drug Information, LLC</w:t>
      </w:r>
      <w:r w:rsidRPr="00F14803">
        <w:rPr>
          <w:rFonts w:cs="Arial"/>
          <w:szCs w:val="20"/>
        </w:rPr>
        <w:t xml:space="preserve">. </w:t>
      </w:r>
      <w:bookmarkEnd w:id="3"/>
    </w:p>
    <w:sectPr w:rsidR="00777CA4" w:rsidRPr="00EA305C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7740" w14:textId="77777777" w:rsidR="003A3399" w:rsidRPr="00C02553" w:rsidRDefault="003A3399" w:rsidP="00AE77DB">
      <w:r w:rsidRPr="00C02553">
        <w:separator/>
      </w:r>
    </w:p>
  </w:endnote>
  <w:endnote w:type="continuationSeparator" w:id="0">
    <w:p w14:paraId="283C3405" w14:textId="77777777" w:rsidR="003A3399" w:rsidRPr="00C02553" w:rsidRDefault="003A3399" w:rsidP="00AE77DB">
      <w:r w:rsidRPr="00C02553">
        <w:continuationSeparator/>
      </w:r>
    </w:p>
  </w:endnote>
  <w:endnote w:type="continuationNotice" w:id="1">
    <w:p w14:paraId="44B29E8A" w14:textId="77777777" w:rsidR="003A3399" w:rsidRPr="00C02553" w:rsidRDefault="003A3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D28C" w14:textId="77777777" w:rsidR="003A3399" w:rsidRPr="00C02553" w:rsidRDefault="003A3399" w:rsidP="00AE77DB">
      <w:r w:rsidRPr="00C02553">
        <w:separator/>
      </w:r>
    </w:p>
  </w:footnote>
  <w:footnote w:type="continuationSeparator" w:id="0">
    <w:p w14:paraId="489B7813" w14:textId="77777777" w:rsidR="003A3399" w:rsidRPr="00C02553" w:rsidRDefault="003A3399" w:rsidP="00AE77DB">
      <w:r w:rsidRPr="00C02553">
        <w:continuationSeparator/>
      </w:r>
    </w:p>
  </w:footnote>
  <w:footnote w:type="continuationNotice" w:id="1">
    <w:p w14:paraId="18EECA4C" w14:textId="77777777" w:rsidR="003A3399" w:rsidRPr="00C02553" w:rsidRDefault="003A33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000000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000000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D7E5AD7"/>
    <w:multiLevelType w:val="hybridMultilevel"/>
    <w:tmpl w:val="547462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DAD4D24"/>
    <w:multiLevelType w:val="hybridMultilevel"/>
    <w:tmpl w:val="D2D23D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E2D0F"/>
    <w:multiLevelType w:val="hybridMultilevel"/>
    <w:tmpl w:val="D4848992"/>
    <w:lvl w:ilvl="0" w:tplc="328203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220EE6"/>
    <w:multiLevelType w:val="hybridMultilevel"/>
    <w:tmpl w:val="A6BE7630"/>
    <w:lvl w:ilvl="0" w:tplc="E91A3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7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4"/>
  </w:num>
  <w:num w:numId="7" w16cid:durableId="2110008555">
    <w:abstractNumId w:val="2"/>
  </w:num>
  <w:num w:numId="8" w16cid:durableId="489712751">
    <w:abstractNumId w:val="8"/>
  </w:num>
  <w:num w:numId="9" w16cid:durableId="1085147965">
    <w:abstractNumId w:val="12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5"/>
  </w:num>
  <w:num w:numId="13" w16cid:durableId="604729665">
    <w:abstractNumId w:val="7"/>
  </w:num>
  <w:num w:numId="14" w16cid:durableId="1805081292">
    <w:abstractNumId w:val="13"/>
  </w:num>
  <w:num w:numId="15" w16cid:durableId="1349523167">
    <w:abstractNumId w:val="11"/>
  </w:num>
  <w:num w:numId="16" w16cid:durableId="1304232872">
    <w:abstractNumId w:val="6"/>
  </w:num>
  <w:num w:numId="17" w16cid:durableId="1554467557">
    <w:abstractNumId w:val="16"/>
  </w:num>
  <w:num w:numId="18" w16cid:durableId="92584738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5B1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32FAB"/>
    <w:rsid w:val="00144DBE"/>
    <w:rsid w:val="00152C8B"/>
    <w:rsid w:val="0015636A"/>
    <w:rsid w:val="00172053"/>
    <w:rsid w:val="00177A80"/>
    <w:rsid w:val="00180635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A02F4"/>
    <w:rsid w:val="002B11BF"/>
    <w:rsid w:val="002C2C41"/>
    <w:rsid w:val="002C62E7"/>
    <w:rsid w:val="002E05E2"/>
    <w:rsid w:val="002E17F2"/>
    <w:rsid w:val="002E2DD6"/>
    <w:rsid w:val="002E3F28"/>
    <w:rsid w:val="002F0E52"/>
    <w:rsid w:val="002F2274"/>
    <w:rsid w:val="002F2405"/>
    <w:rsid w:val="002F2E1C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4566"/>
    <w:rsid w:val="003355AC"/>
    <w:rsid w:val="00343D6B"/>
    <w:rsid w:val="00347FB5"/>
    <w:rsid w:val="00355515"/>
    <w:rsid w:val="003608B5"/>
    <w:rsid w:val="003613AF"/>
    <w:rsid w:val="0037025E"/>
    <w:rsid w:val="0038662F"/>
    <w:rsid w:val="003878C1"/>
    <w:rsid w:val="00396C0B"/>
    <w:rsid w:val="003A3399"/>
    <w:rsid w:val="003A630F"/>
    <w:rsid w:val="003B3958"/>
    <w:rsid w:val="003B4820"/>
    <w:rsid w:val="003B5F4B"/>
    <w:rsid w:val="003B682F"/>
    <w:rsid w:val="003C53FC"/>
    <w:rsid w:val="003C7013"/>
    <w:rsid w:val="003D641B"/>
    <w:rsid w:val="003F227C"/>
    <w:rsid w:val="00400F88"/>
    <w:rsid w:val="004023CC"/>
    <w:rsid w:val="00407564"/>
    <w:rsid w:val="00411152"/>
    <w:rsid w:val="004156AA"/>
    <w:rsid w:val="004253A1"/>
    <w:rsid w:val="004313B6"/>
    <w:rsid w:val="00433339"/>
    <w:rsid w:val="00436909"/>
    <w:rsid w:val="00446BBC"/>
    <w:rsid w:val="004472C0"/>
    <w:rsid w:val="00450705"/>
    <w:rsid w:val="00451928"/>
    <w:rsid w:val="0046618B"/>
    <w:rsid w:val="00473B98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EF9"/>
    <w:rsid w:val="00520FE9"/>
    <w:rsid w:val="005233E7"/>
    <w:rsid w:val="00530FEE"/>
    <w:rsid w:val="005328B2"/>
    <w:rsid w:val="005342FC"/>
    <w:rsid w:val="00535BD5"/>
    <w:rsid w:val="00540977"/>
    <w:rsid w:val="00551668"/>
    <w:rsid w:val="005572D5"/>
    <w:rsid w:val="00566BE4"/>
    <w:rsid w:val="00570D21"/>
    <w:rsid w:val="00576113"/>
    <w:rsid w:val="00590652"/>
    <w:rsid w:val="0059235F"/>
    <w:rsid w:val="00596936"/>
    <w:rsid w:val="005A2F1E"/>
    <w:rsid w:val="005A4232"/>
    <w:rsid w:val="005A4F6C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353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C1C38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B5F29"/>
    <w:rsid w:val="007D2920"/>
    <w:rsid w:val="007D42DD"/>
    <w:rsid w:val="007E6A37"/>
    <w:rsid w:val="007F1774"/>
    <w:rsid w:val="00811A70"/>
    <w:rsid w:val="0081406E"/>
    <w:rsid w:val="00832211"/>
    <w:rsid w:val="008325F4"/>
    <w:rsid w:val="00832AC8"/>
    <w:rsid w:val="0083723D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C000E"/>
    <w:rsid w:val="008D0F2F"/>
    <w:rsid w:val="008D237F"/>
    <w:rsid w:val="008D3FD8"/>
    <w:rsid w:val="008D6B05"/>
    <w:rsid w:val="008E7D2D"/>
    <w:rsid w:val="008F44C0"/>
    <w:rsid w:val="008F5999"/>
    <w:rsid w:val="00903AD6"/>
    <w:rsid w:val="00904D7A"/>
    <w:rsid w:val="00915332"/>
    <w:rsid w:val="009204BB"/>
    <w:rsid w:val="00935918"/>
    <w:rsid w:val="00935EC3"/>
    <w:rsid w:val="009446E4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3B9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05CAA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8155D"/>
    <w:rsid w:val="00AA70AB"/>
    <w:rsid w:val="00AB0B9F"/>
    <w:rsid w:val="00AB1713"/>
    <w:rsid w:val="00AB26D7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36024"/>
    <w:rsid w:val="00B507A5"/>
    <w:rsid w:val="00B52475"/>
    <w:rsid w:val="00B535DA"/>
    <w:rsid w:val="00B56DCC"/>
    <w:rsid w:val="00B56F54"/>
    <w:rsid w:val="00B638C2"/>
    <w:rsid w:val="00B758AB"/>
    <w:rsid w:val="00B76277"/>
    <w:rsid w:val="00B76495"/>
    <w:rsid w:val="00B772AB"/>
    <w:rsid w:val="00B80395"/>
    <w:rsid w:val="00B80B56"/>
    <w:rsid w:val="00B86372"/>
    <w:rsid w:val="00BA1C17"/>
    <w:rsid w:val="00BA1D65"/>
    <w:rsid w:val="00BB3B4D"/>
    <w:rsid w:val="00BB4B93"/>
    <w:rsid w:val="00BC351E"/>
    <w:rsid w:val="00BC3F77"/>
    <w:rsid w:val="00BC5635"/>
    <w:rsid w:val="00BC5675"/>
    <w:rsid w:val="00BD081C"/>
    <w:rsid w:val="00BD277B"/>
    <w:rsid w:val="00BD47CA"/>
    <w:rsid w:val="00BD5441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0523"/>
    <w:rsid w:val="00C2586C"/>
    <w:rsid w:val="00C26001"/>
    <w:rsid w:val="00C34E72"/>
    <w:rsid w:val="00C56B1B"/>
    <w:rsid w:val="00C56B1F"/>
    <w:rsid w:val="00C61B52"/>
    <w:rsid w:val="00C62745"/>
    <w:rsid w:val="00C654CA"/>
    <w:rsid w:val="00C722C9"/>
    <w:rsid w:val="00C763BD"/>
    <w:rsid w:val="00C779A8"/>
    <w:rsid w:val="00C82E19"/>
    <w:rsid w:val="00C93B4E"/>
    <w:rsid w:val="00C96873"/>
    <w:rsid w:val="00CA0D21"/>
    <w:rsid w:val="00CA1735"/>
    <w:rsid w:val="00CA3C4B"/>
    <w:rsid w:val="00CA7252"/>
    <w:rsid w:val="00CB2C5A"/>
    <w:rsid w:val="00CE0C1C"/>
    <w:rsid w:val="00CE34AF"/>
    <w:rsid w:val="00CE7DD5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96CAE"/>
    <w:rsid w:val="00DA3A0F"/>
    <w:rsid w:val="00DA4E62"/>
    <w:rsid w:val="00DA6990"/>
    <w:rsid w:val="00DB27BA"/>
    <w:rsid w:val="00DB337A"/>
    <w:rsid w:val="00DC02FC"/>
    <w:rsid w:val="00DC51CB"/>
    <w:rsid w:val="00DC6C8F"/>
    <w:rsid w:val="00DD4819"/>
    <w:rsid w:val="00DD4B8A"/>
    <w:rsid w:val="00DD5403"/>
    <w:rsid w:val="00DE1388"/>
    <w:rsid w:val="00DE7501"/>
    <w:rsid w:val="00DF2DED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54AA"/>
    <w:rsid w:val="00E43D54"/>
    <w:rsid w:val="00E442FB"/>
    <w:rsid w:val="00E51B52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A305C"/>
    <w:rsid w:val="00EB0367"/>
    <w:rsid w:val="00EB4688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6F8B"/>
    <w:rsid w:val="00F03898"/>
    <w:rsid w:val="00F03FA5"/>
    <w:rsid w:val="00F14803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353"/>
    <w:rsid w:val="00F63A52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0F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FE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30FE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FE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8155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B9452-144F-4CC2-82BE-295AF47D0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992BC-7C11-4A83-A97F-D2E41AE80B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eefb00-5952-4f7e-8cf8-96f81cfadd01"/>
    <ds:schemaRef ds:uri="aba01ddc-ae9a-4c9e-819c-7140b4239cde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DSS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Antiemetics, 5-HT3 and NK1 Injectables PDL Edit</dc:title>
  <dc:creator>DMS</dc:creator>
  <cp:lastModifiedBy>Morsches, Phuonglinh</cp:lastModifiedBy>
  <cp:revision>34</cp:revision>
  <cp:lastPrinted>2018-10-31T20:17:00Z</cp:lastPrinted>
  <dcterms:created xsi:type="dcterms:W3CDTF">2025-11-25T02:45:00Z</dcterms:created>
  <dcterms:modified xsi:type="dcterms:W3CDTF">2025-12-17T04:09:00Z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