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5D9BFAE6" w:rsidR="00AE77DB" w:rsidRPr="00BC46EE" w:rsidRDefault="004829D4" w:rsidP="00D02F34">
      <w:pPr>
        <w:pStyle w:val="Heading1"/>
        <w:rPr>
          <w:color w:val="002060"/>
          <w:sz w:val="52"/>
          <w:szCs w:val="52"/>
          <w:lang w:val="en-US"/>
        </w:rPr>
      </w:pPr>
      <w:r w:rsidRPr="00BC46EE">
        <w:rPr>
          <w:color w:val="002060"/>
          <w:sz w:val="52"/>
          <w:szCs w:val="52"/>
          <w:lang w:val="en-US"/>
        </w:rPr>
        <w:t>New Drug Fact Blast</w:t>
      </w:r>
    </w:p>
    <w:p w14:paraId="56120035" w14:textId="77777777" w:rsidR="00BC46EE" w:rsidRPr="00BC46EE" w:rsidRDefault="00BC46EE" w:rsidP="00CE4651">
      <w:pPr>
        <w:pStyle w:val="tbody"/>
        <w:rPr>
          <w:sz w:val="18"/>
          <w:szCs w:val="18"/>
        </w:rPr>
      </w:pPr>
    </w:p>
    <w:p w14:paraId="36D838E1" w14:textId="041934FA" w:rsidR="00507DA1" w:rsidRPr="00BC46EE" w:rsidRDefault="00CE4651" w:rsidP="0022031B">
      <w:pPr>
        <w:pStyle w:val="tbody"/>
        <w:rPr>
          <w:rFonts w:cs="Arial"/>
        </w:rPr>
      </w:pPr>
      <w:r w:rsidRPr="00BC46EE">
        <w:rPr>
          <w:rFonts w:cs="Arial"/>
        </w:rPr>
        <w:t>Drug/Manufacturer:</w:t>
      </w:r>
      <w:r w:rsidR="00507DA1" w:rsidRPr="00BC46EE">
        <w:rPr>
          <w:rFonts w:cs="Arial"/>
        </w:rPr>
        <w:t xml:space="preserve"> </w:t>
      </w:r>
      <w:r w:rsidR="00DB22C4" w:rsidRPr="00BC46EE">
        <w:rPr>
          <w:rFonts w:cs="Arial"/>
        </w:rPr>
        <w:t>Dawnzera</w:t>
      </w:r>
      <w:r w:rsidR="00DB22C4" w:rsidRPr="00E55C6B">
        <w:rPr>
          <w:rFonts w:cs="Arial"/>
          <w:vertAlign w:val="superscript"/>
        </w:rPr>
        <w:t>™</w:t>
      </w:r>
      <w:r w:rsidR="00DB22C4" w:rsidRPr="00BC46EE">
        <w:rPr>
          <w:rFonts w:cs="Arial"/>
        </w:rPr>
        <w:t xml:space="preserve"> (donidalorsen) [Ionis Pharmaceuticals Inc.] </w:t>
      </w:r>
      <w:r w:rsidR="00DB22C4" w:rsidRPr="00BC46EE">
        <w:rPr>
          <w:rFonts w:cs="Arial"/>
          <w:b w:val="0"/>
          <w:bCs/>
          <w:i/>
          <w:iCs/>
        </w:rPr>
        <w:t>(dawn-ZAIR-ah)</w:t>
      </w:r>
    </w:p>
    <w:p w14:paraId="04F4922B" w14:textId="2F7E1197" w:rsidR="00507DA1" w:rsidRPr="00BC46EE" w:rsidRDefault="00CE4651" w:rsidP="0022031B">
      <w:pPr>
        <w:pStyle w:val="tbody"/>
        <w:rPr>
          <w:rFonts w:cs="Arial"/>
        </w:rPr>
      </w:pPr>
      <w:r w:rsidRPr="00BC46EE">
        <w:rPr>
          <w:rFonts w:cs="Arial"/>
        </w:rPr>
        <w:t>Dosage Formulations:</w:t>
      </w:r>
      <w:r w:rsidR="00507DA1" w:rsidRPr="00BC46EE">
        <w:rPr>
          <w:rFonts w:cs="Arial"/>
        </w:rPr>
        <w:t xml:space="preserve"> </w:t>
      </w:r>
      <w:r w:rsidR="005D6F5D" w:rsidRPr="00BC46EE">
        <w:rPr>
          <w:rFonts w:cs="Arial"/>
          <w:b w:val="0"/>
          <w:bCs/>
        </w:rPr>
        <w:t>80 mg/0.8 mL single-dose autoinjector pen</w:t>
      </w:r>
    </w:p>
    <w:p w14:paraId="6587D11D" w14:textId="5C99E25B" w:rsidR="00507DA1" w:rsidRPr="00BC46EE" w:rsidRDefault="00CE4651" w:rsidP="0022031B">
      <w:pPr>
        <w:pStyle w:val="tbody"/>
        <w:rPr>
          <w:rFonts w:cs="Arial"/>
          <w:b w:val="0"/>
          <w:bCs/>
        </w:rPr>
      </w:pPr>
      <w:r w:rsidRPr="00BC46EE">
        <w:rPr>
          <w:rFonts w:cs="Arial"/>
        </w:rPr>
        <w:t xml:space="preserve">FDA Approval Date: </w:t>
      </w:r>
      <w:r w:rsidR="005D6F5D" w:rsidRPr="00BC46EE">
        <w:rPr>
          <w:rFonts w:cs="Arial"/>
          <w:b w:val="0"/>
          <w:bCs/>
        </w:rPr>
        <w:t>August 21, 2025</w:t>
      </w:r>
    </w:p>
    <w:p w14:paraId="4BEA5866" w14:textId="411BDFF3" w:rsidR="00CE4651" w:rsidRPr="00BC46EE" w:rsidRDefault="00507DA1" w:rsidP="0022031B">
      <w:pPr>
        <w:pStyle w:val="tbody"/>
        <w:rPr>
          <w:rFonts w:cs="Arial"/>
          <w:b w:val="0"/>
          <w:bCs/>
        </w:rPr>
      </w:pPr>
      <w:r w:rsidRPr="00BC46EE">
        <w:rPr>
          <w:rFonts w:cs="Arial"/>
        </w:rPr>
        <w:t>F</w:t>
      </w:r>
      <w:r w:rsidR="00CE4651" w:rsidRPr="00BC46EE">
        <w:rPr>
          <w:rFonts w:cs="Arial"/>
        </w:rPr>
        <w:t>DB File Date:</w:t>
      </w:r>
      <w:r w:rsidRPr="00BC46EE">
        <w:rPr>
          <w:rFonts w:cs="Arial"/>
        </w:rPr>
        <w:t xml:space="preserve"> </w:t>
      </w:r>
      <w:r w:rsidR="005D6F5D" w:rsidRPr="00BC46EE">
        <w:rPr>
          <w:rFonts w:cs="Arial"/>
          <w:b w:val="0"/>
          <w:bCs/>
        </w:rPr>
        <w:t>August 22, 2025</w:t>
      </w:r>
    </w:p>
    <w:p w14:paraId="2726A013" w14:textId="125D943C" w:rsidR="004C5767" w:rsidRPr="00BC46EE" w:rsidRDefault="004C5767" w:rsidP="0022031B">
      <w:pPr>
        <w:pStyle w:val="tbody"/>
        <w:rPr>
          <w:rFonts w:cs="Arial"/>
        </w:rPr>
      </w:pPr>
      <w:r w:rsidRPr="00BC46EE">
        <w:rPr>
          <w:rFonts w:cs="Arial"/>
        </w:rPr>
        <w:t xml:space="preserve">Prepared For: </w:t>
      </w:r>
      <w:r w:rsidR="00EE613F" w:rsidRPr="00BC46EE">
        <w:rPr>
          <w:rFonts w:cs="Arial"/>
          <w:b w:val="0"/>
          <w:bCs/>
        </w:rPr>
        <w:t>MO HealthNet</w:t>
      </w:r>
      <w:r w:rsidRPr="00BC46EE">
        <w:rPr>
          <w:rFonts w:cs="Arial"/>
        </w:rPr>
        <w:tab/>
      </w:r>
    </w:p>
    <w:p w14:paraId="0FD7BA18" w14:textId="5244A7E2" w:rsidR="004C5767" w:rsidRPr="00BC46EE" w:rsidRDefault="004C5767" w:rsidP="0022031B">
      <w:pPr>
        <w:pStyle w:val="tbody"/>
        <w:rPr>
          <w:sz w:val="18"/>
          <w:szCs w:val="18"/>
        </w:rPr>
      </w:pPr>
      <w:r w:rsidRPr="00BC46EE">
        <w:rPr>
          <w:rFonts w:cs="Arial"/>
        </w:rPr>
        <w:t xml:space="preserve">Prepared By: </w:t>
      </w:r>
      <w:r w:rsidR="00303B21" w:rsidRPr="00BC46EE">
        <w:rPr>
          <w:rFonts w:cs="Arial"/>
          <w:b w:val="0"/>
          <w:bCs/>
        </w:rPr>
        <w:t>Conduent</w:t>
      </w:r>
      <w:r w:rsidR="00507DA1" w:rsidRPr="00BC46EE">
        <w:rPr>
          <w:rFonts w:cs="Arial"/>
          <w:b w:val="0"/>
          <w:bCs/>
        </w:rPr>
        <w:t xml:space="preserve"> Clinical Services</w:t>
      </w:r>
      <w:r w:rsidRPr="00BC46EE">
        <w:rPr>
          <w:sz w:val="18"/>
          <w:szCs w:val="18"/>
        </w:rPr>
        <w:tab/>
      </w:r>
    </w:p>
    <w:p w14:paraId="6413BFE8" w14:textId="73350972" w:rsidR="00AE77DB" w:rsidRPr="00BC46EE" w:rsidRDefault="005E10EC" w:rsidP="00BC46EE">
      <w:pPr>
        <w:pStyle w:val="Style2"/>
      </w:pPr>
      <w:r w:rsidRPr="00BC46EE">
        <w:t>Indication</w:t>
      </w:r>
    </w:p>
    <w:p w14:paraId="6D696800" w14:textId="140B4CFE" w:rsidR="00E23EC0" w:rsidRPr="002C2C41" w:rsidRDefault="004A14B8" w:rsidP="0022031B">
      <w:pPr>
        <w:spacing w:before="60" w:after="60"/>
        <w:rPr>
          <w:rFonts w:cs="Arial"/>
          <w:spacing w:val="-3"/>
          <w:szCs w:val="20"/>
        </w:rPr>
      </w:pPr>
      <w:r w:rsidRPr="48B196EB">
        <w:rPr>
          <w:rFonts w:eastAsia="Arial"/>
          <w:szCs w:val="20"/>
        </w:rPr>
        <w:t>Prophylaxis to prevent attacks of hereditary angioedema (HAE) in adult and pediatric patients 12 years of age and older</w:t>
      </w:r>
      <w:r>
        <w:rPr>
          <w:rFonts w:eastAsia="Arial"/>
          <w:szCs w:val="20"/>
        </w:rPr>
        <w:t>.</w:t>
      </w:r>
    </w:p>
    <w:p w14:paraId="6413C027" w14:textId="2E37C763" w:rsidR="00AE77DB" w:rsidRPr="00BC46EE" w:rsidRDefault="00777829" w:rsidP="00BC46EE">
      <w:pPr>
        <w:pStyle w:val="Style2"/>
      </w:pPr>
      <w:r w:rsidRPr="00BC46EE">
        <w:t>Mechanism of Action</w:t>
      </w:r>
    </w:p>
    <w:p w14:paraId="7F2A9816" w14:textId="77B60262" w:rsidR="005328B2" w:rsidRPr="002C2C41" w:rsidRDefault="00475711" w:rsidP="0022031B">
      <w:pPr>
        <w:spacing w:before="60" w:after="60"/>
        <w:rPr>
          <w:rFonts w:cs="Arial"/>
          <w:szCs w:val="20"/>
        </w:rPr>
      </w:pPr>
      <w:r w:rsidRPr="48B196EB">
        <w:rPr>
          <w:rFonts w:eastAsia="Arial"/>
          <w:szCs w:val="20"/>
        </w:rPr>
        <w:t>Dawnzera is an ASO</w:t>
      </w:r>
      <w:r w:rsidRPr="48B196EB">
        <w:rPr>
          <w:rFonts w:ascii="Cambria Math" w:eastAsia="Arial" w:hAnsi="Cambria Math" w:cs="Cambria Math"/>
          <w:szCs w:val="20"/>
        </w:rPr>
        <w:t>‑</w:t>
      </w:r>
      <w:r w:rsidRPr="48B196EB">
        <w:rPr>
          <w:rFonts w:eastAsia="Arial"/>
          <w:szCs w:val="20"/>
        </w:rPr>
        <w:t>GalNAc conjugate that causes ribonuclease H1 (RNase H1)</w:t>
      </w:r>
      <w:r w:rsidRPr="48B196EB">
        <w:rPr>
          <w:rFonts w:ascii="Cambria Math" w:eastAsia="Arial" w:hAnsi="Cambria Math" w:cs="Cambria Math"/>
          <w:szCs w:val="20"/>
        </w:rPr>
        <w:t>‑</w:t>
      </w:r>
      <w:r w:rsidRPr="48B196EB">
        <w:rPr>
          <w:rFonts w:eastAsia="Arial"/>
          <w:szCs w:val="20"/>
        </w:rPr>
        <w:t>mediated degradation of PKK</w:t>
      </w:r>
      <w:r w:rsidR="00981E8D">
        <w:rPr>
          <w:rFonts w:eastAsia="Arial"/>
          <w:szCs w:val="20"/>
        </w:rPr>
        <w:t xml:space="preserve"> (prekallikrein)</w:t>
      </w:r>
      <w:r w:rsidRPr="48B196EB">
        <w:rPr>
          <w:rFonts w:eastAsia="Arial"/>
          <w:szCs w:val="20"/>
        </w:rPr>
        <w:t xml:space="preserve"> mRNA through binding to PKK mRNA, which results in reduced production of PKK protein. PKK is a pro</w:t>
      </w:r>
      <w:r w:rsidRPr="48B196EB">
        <w:rPr>
          <w:rFonts w:ascii="Cambria Math" w:eastAsia="Arial" w:hAnsi="Cambria Math" w:cs="Cambria Math"/>
          <w:szCs w:val="20"/>
        </w:rPr>
        <w:t>‑</w:t>
      </w:r>
      <w:r w:rsidRPr="48B196EB">
        <w:rPr>
          <w:rFonts w:eastAsia="Arial"/>
          <w:szCs w:val="20"/>
        </w:rPr>
        <w:t>enzyme for plasma kallikrein</w:t>
      </w:r>
      <w:r w:rsidR="00134FC2">
        <w:rPr>
          <w:rFonts w:eastAsia="Arial"/>
          <w:szCs w:val="20"/>
        </w:rPr>
        <w:t xml:space="preserve"> (PKa)</w:t>
      </w:r>
      <w:r w:rsidRPr="48B196EB">
        <w:rPr>
          <w:rFonts w:eastAsia="Arial"/>
          <w:szCs w:val="20"/>
        </w:rPr>
        <w:t>, which results in the release of bradykinin, a potent vasodilator causing swelling and pain in HAE. In patients with HAE, C1</w:t>
      </w:r>
      <w:r w:rsidRPr="48B196EB">
        <w:rPr>
          <w:rFonts w:ascii="Cambria Math" w:eastAsia="Arial" w:hAnsi="Cambria Math" w:cs="Cambria Math"/>
          <w:szCs w:val="20"/>
        </w:rPr>
        <w:t>‑</w:t>
      </w:r>
      <w:r w:rsidRPr="48B196EB">
        <w:rPr>
          <w:rFonts w:eastAsia="Arial"/>
          <w:szCs w:val="20"/>
        </w:rPr>
        <w:t xml:space="preserve">inhibitor (C1INH) deficiency or dysfunction leads to excessive plasma kallikrein activity, bradykinin generation, and angioedema attacks. </w:t>
      </w:r>
      <w:r w:rsidR="00046406" w:rsidRPr="48B196EB">
        <w:rPr>
          <w:rFonts w:eastAsia="Arial"/>
          <w:szCs w:val="20"/>
        </w:rPr>
        <w:t>Dawnzera</w:t>
      </w:r>
      <w:r w:rsidRPr="48B196EB">
        <w:rPr>
          <w:rFonts w:eastAsia="Arial"/>
          <w:szCs w:val="20"/>
        </w:rPr>
        <w:t xml:space="preserve"> lowers PKK concentration, preventing excessive bradykinin production in patients with HAE</w:t>
      </w:r>
      <w:r>
        <w:rPr>
          <w:rFonts w:eastAsia="Arial"/>
          <w:szCs w:val="20"/>
        </w:rPr>
        <w:t>.</w:t>
      </w:r>
    </w:p>
    <w:p w14:paraId="6413C035" w14:textId="25CB0066" w:rsidR="00AE77DB" w:rsidRPr="00BC46EE" w:rsidRDefault="00777829" w:rsidP="00BC46EE">
      <w:pPr>
        <w:pStyle w:val="Style2"/>
      </w:pPr>
      <w:r w:rsidRPr="00BC46EE">
        <w:t>Dose/Administration</w:t>
      </w:r>
    </w:p>
    <w:p w14:paraId="02906981" w14:textId="00D75C33" w:rsidR="00481A1F" w:rsidRPr="00481A1F" w:rsidRDefault="00481A1F" w:rsidP="00E538D7">
      <w:pPr>
        <w:pStyle w:val="ListParagraph"/>
      </w:pPr>
      <w:r w:rsidRPr="48B196EB">
        <w:t xml:space="preserve">The recommended dosage of </w:t>
      </w:r>
      <w:r w:rsidR="00E90755">
        <w:t>Dawnzera</w:t>
      </w:r>
      <w:r w:rsidRPr="48B196EB">
        <w:t xml:space="preserve"> is 80 mg administered subcutaneously </w:t>
      </w:r>
      <w:r w:rsidR="00E8232F">
        <w:t xml:space="preserve">(SC) </w:t>
      </w:r>
      <w:r w:rsidRPr="48B196EB">
        <w:t>every 4 weeks.</w:t>
      </w:r>
      <w:r w:rsidR="008157C7">
        <w:t xml:space="preserve"> </w:t>
      </w:r>
      <w:r w:rsidRPr="00481A1F">
        <w:t xml:space="preserve">A dosage of 80 mg administered </w:t>
      </w:r>
      <w:r w:rsidR="00EB548F">
        <w:t xml:space="preserve">SC </w:t>
      </w:r>
      <w:r w:rsidRPr="00481A1F">
        <w:t>every 8 weeks may be considered.</w:t>
      </w:r>
    </w:p>
    <w:p w14:paraId="792C3B59" w14:textId="1CDDDE9B" w:rsidR="00481A1F" w:rsidRDefault="00B52867" w:rsidP="009A39DD">
      <w:pPr>
        <w:pStyle w:val="ListParagraph"/>
        <w:numPr>
          <w:ilvl w:val="1"/>
          <w:numId w:val="6"/>
        </w:numPr>
      </w:pPr>
      <w:r>
        <w:t xml:space="preserve">Clinical studies showed </w:t>
      </w:r>
      <w:r w:rsidR="00481A1F" w:rsidRPr="00481A1F">
        <w:t xml:space="preserve">81% lower monthly HAE attack rate with </w:t>
      </w:r>
      <w:r w:rsidR="00784755">
        <w:t xml:space="preserve">every </w:t>
      </w:r>
      <w:r w:rsidR="002A4215">
        <w:t>4-week</w:t>
      </w:r>
      <w:r w:rsidR="00784755">
        <w:t xml:space="preserve"> </w:t>
      </w:r>
      <w:r w:rsidR="00481A1F" w:rsidRPr="00481A1F">
        <w:t>dosing</w:t>
      </w:r>
      <w:r w:rsidR="00784755">
        <w:t xml:space="preserve">, compared to </w:t>
      </w:r>
      <w:r w:rsidR="00481A1F" w:rsidRPr="00481A1F">
        <w:t xml:space="preserve">55% reduction with </w:t>
      </w:r>
      <w:r w:rsidR="00784755">
        <w:t xml:space="preserve">every </w:t>
      </w:r>
      <w:r w:rsidR="002A4215">
        <w:t>8-week</w:t>
      </w:r>
      <w:r w:rsidR="00784755">
        <w:t xml:space="preserve"> </w:t>
      </w:r>
      <w:r w:rsidR="00481A1F" w:rsidRPr="00481A1F">
        <w:t>dosing</w:t>
      </w:r>
      <w:r w:rsidR="00E853F1">
        <w:t>.</w:t>
      </w:r>
    </w:p>
    <w:p w14:paraId="38EC0D02" w14:textId="4AD4110E" w:rsidR="00423F68" w:rsidRPr="00481A1F" w:rsidRDefault="008157C7" w:rsidP="008157C7">
      <w:pPr>
        <w:pStyle w:val="ListParagraph"/>
        <w:numPr>
          <w:ilvl w:val="1"/>
          <w:numId w:val="6"/>
        </w:numPr>
      </w:pPr>
      <w:r>
        <w:t>Potentially</w:t>
      </w:r>
      <w:r w:rsidR="00AD512D">
        <w:t xml:space="preserve"> patients could start </w:t>
      </w:r>
      <w:r>
        <w:t xml:space="preserve">therapy </w:t>
      </w:r>
      <w:r w:rsidR="00AD512D">
        <w:t>with every 4-week dosing to achieve an initial, rapid clinical response</w:t>
      </w:r>
      <w:r w:rsidR="00AB0997">
        <w:t xml:space="preserve"> prior to switching to every 8-week dosing</w:t>
      </w:r>
      <w:r w:rsidR="004F4824">
        <w:t xml:space="preserve">.  </w:t>
      </w:r>
      <w:r w:rsidR="0093282C">
        <w:t>Existing PKK must degrade</w:t>
      </w:r>
      <w:r w:rsidR="00733869">
        <w:t xml:space="preserve"> before the onset of the clinical effect from </w:t>
      </w:r>
      <w:r w:rsidR="004F4824">
        <w:t xml:space="preserve">Dawnzera </w:t>
      </w:r>
      <w:r w:rsidR="00561AF7">
        <w:t xml:space="preserve">action </w:t>
      </w:r>
      <w:r w:rsidR="003C5B2B">
        <w:t>on PKK mRNA in the liver</w:t>
      </w:r>
      <w:r w:rsidR="0093282C">
        <w:t xml:space="preserve"> </w:t>
      </w:r>
      <w:r w:rsidR="00501702">
        <w:t>can be seen</w:t>
      </w:r>
      <w:r w:rsidR="00966301">
        <w:t>.  I</w:t>
      </w:r>
      <w:r>
        <w:t>n clinical studies i</w:t>
      </w:r>
      <w:r w:rsidR="00966301">
        <w:t xml:space="preserve">t took </w:t>
      </w:r>
      <w:r w:rsidR="0012332C">
        <w:t xml:space="preserve">25 to 30 days to reach </w:t>
      </w:r>
      <w:r w:rsidR="00966301">
        <w:t xml:space="preserve">the </w:t>
      </w:r>
      <w:r w:rsidR="00D31558">
        <w:t xml:space="preserve">new steady-state PKK concentration. </w:t>
      </w:r>
    </w:p>
    <w:p w14:paraId="15FC4A31" w14:textId="33E1FF8C" w:rsidR="00FD09B4" w:rsidRPr="00FD09B4" w:rsidRDefault="00481A1F" w:rsidP="00907900">
      <w:pPr>
        <w:pStyle w:val="ListParagraph"/>
        <w:rPr>
          <w:rFonts w:cs="Arial"/>
        </w:rPr>
      </w:pPr>
      <w:r w:rsidRPr="00FD09B4">
        <w:t xml:space="preserve">Dawnzera is intended for self-administration </w:t>
      </w:r>
      <w:r w:rsidR="008E7D6E">
        <w:t>but can be administered</w:t>
      </w:r>
      <w:r w:rsidRPr="00FD09B4">
        <w:t xml:space="preserve"> by a caregiver.</w:t>
      </w:r>
    </w:p>
    <w:p w14:paraId="0B0C0D72" w14:textId="045B9052" w:rsidR="005328B2" w:rsidRPr="00FD09B4" w:rsidRDefault="00481A1F" w:rsidP="00907900">
      <w:pPr>
        <w:pStyle w:val="ListParagraph"/>
        <w:rPr>
          <w:rFonts w:cs="Arial"/>
        </w:rPr>
      </w:pPr>
      <w:r w:rsidRPr="00FD09B4">
        <w:t>Remove the pen from the refrigerator 30 minutes prior to the injection and allow to warm to room temperature. Administer subcutaneously into the abdomen or upper thigh region. The back of the upper arm can also be used as an injection site if a caregiver or healthcare provider administers the injection</w:t>
      </w:r>
      <w:r w:rsidR="00E853F1">
        <w:t>.</w:t>
      </w:r>
    </w:p>
    <w:p w14:paraId="6413C03A" w14:textId="7B98EB28" w:rsidR="00AE77DB" w:rsidRPr="00BC46EE" w:rsidRDefault="00777829" w:rsidP="00BC46EE">
      <w:pPr>
        <w:pStyle w:val="Style2"/>
      </w:pPr>
      <w:r w:rsidRPr="00BC46EE">
        <w:t>Disease State Clinical Highlights</w:t>
      </w:r>
    </w:p>
    <w:p w14:paraId="7F3854CD" w14:textId="1223CA37" w:rsidR="00BA5CC5" w:rsidRPr="00BA5CC5" w:rsidRDefault="00AB184C" w:rsidP="00907900">
      <w:pPr>
        <w:pStyle w:val="ListParagraph"/>
        <w:rPr>
          <w:color w:val="000000" w:themeColor="text1"/>
        </w:rPr>
      </w:pPr>
      <w:r w:rsidRPr="48B196EB">
        <w:t xml:space="preserve">Hereditary angioedema is a rare condition characterized by unpredictable, recurrent episodes of angioedema without urticaria (also called </w:t>
      </w:r>
      <w:r w:rsidR="004E442F" w:rsidRPr="48B196EB">
        <w:t>wheels</w:t>
      </w:r>
      <w:r w:rsidRPr="48B196EB">
        <w:t>) or pruritus, which most often affect</w:t>
      </w:r>
      <w:r w:rsidR="00EE4117">
        <w:t>s</w:t>
      </w:r>
      <w:r w:rsidRPr="48B196EB">
        <w:t xml:space="preserve"> the skin or mucosal tissues of the upper respiratory and gastrointestinal tracts. The swelling is usually self-limited and resolves in two to five days without treatment, however, significant variability exists in the severity and frequency of attacks</w:t>
      </w:r>
      <w:r w:rsidR="00BA5CC5">
        <w:t>. I</w:t>
      </w:r>
      <w:r w:rsidRPr="48B196EB">
        <w:t xml:space="preserve">ntervals between attacks can range from a few days to decades. </w:t>
      </w:r>
    </w:p>
    <w:p w14:paraId="1A1EBE87" w14:textId="1F93ABF3" w:rsidR="00AB184C" w:rsidRPr="00B83801" w:rsidRDefault="00AB184C" w:rsidP="00907900">
      <w:pPr>
        <w:pStyle w:val="ListParagraph"/>
        <w:rPr>
          <w:color w:val="000000" w:themeColor="text1"/>
        </w:rPr>
      </w:pPr>
      <w:r w:rsidRPr="48B196EB">
        <w:t>Gastrointestinal attacks can cause incapacitating pain and/or discomfort, while laryngeal involvement</w:t>
      </w:r>
      <w:r w:rsidRPr="48B196EB">
        <w:rPr>
          <w:rFonts w:cs="Arial"/>
        </w:rPr>
        <w:t xml:space="preserve"> (occurs in 50% of patients)</w:t>
      </w:r>
      <w:r w:rsidRPr="48B196EB">
        <w:t xml:space="preserve"> may cause fatal asphyxiation. </w:t>
      </w:r>
    </w:p>
    <w:p w14:paraId="288002AF" w14:textId="5F990CB3" w:rsidR="00AB184C" w:rsidRPr="00B83801" w:rsidRDefault="00B83801" w:rsidP="00907900">
      <w:pPr>
        <w:pStyle w:val="ListParagraph"/>
        <w:rPr>
          <w:color w:val="000000" w:themeColor="text1"/>
        </w:rPr>
      </w:pPr>
      <w:r w:rsidRPr="48B196EB">
        <w:t>HAE is estimated to affect 1 in 10,000 to 1 in 50,000 people.  HAE typically begins in childhood or adolescence and continues throughout the lifetime</w:t>
      </w:r>
      <w:r>
        <w:rPr>
          <w:color w:val="000000" w:themeColor="text1"/>
        </w:rPr>
        <w:t>.</w:t>
      </w:r>
    </w:p>
    <w:p w14:paraId="1D208464" w14:textId="77777777" w:rsidR="00BA5CC5" w:rsidRPr="00BA5CC5" w:rsidRDefault="00AB184C" w:rsidP="00907900">
      <w:pPr>
        <w:pStyle w:val="ListParagraph"/>
      </w:pPr>
      <w:r w:rsidRPr="48B196EB">
        <w:rPr>
          <w:color w:val="000000" w:themeColor="text1"/>
        </w:rPr>
        <w:t xml:space="preserve">There are 2 common forms of HAE: </w:t>
      </w:r>
    </w:p>
    <w:p w14:paraId="6C44069A" w14:textId="6A1CFF1F" w:rsidR="00BA5CC5" w:rsidRPr="00BA5CC5" w:rsidRDefault="00AB184C" w:rsidP="00907900">
      <w:pPr>
        <w:pStyle w:val="ListParagraph"/>
        <w:numPr>
          <w:ilvl w:val="1"/>
          <w:numId w:val="6"/>
        </w:numPr>
      </w:pPr>
      <w:r w:rsidRPr="48B196EB">
        <w:rPr>
          <w:rFonts w:cs="Arial"/>
        </w:rPr>
        <w:t xml:space="preserve">HAE due to deficiency of </w:t>
      </w:r>
      <w:r w:rsidR="00132A0E" w:rsidRPr="48B196EB">
        <w:rPr>
          <w:rFonts w:eastAsia="Arial"/>
          <w:szCs w:val="20"/>
        </w:rPr>
        <w:t>C1</w:t>
      </w:r>
      <w:r w:rsidR="00132A0E" w:rsidRPr="48B196EB">
        <w:rPr>
          <w:rFonts w:ascii="Cambria Math" w:eastAsia="Arial" w:hAnsi="Cambria Math" w:cs="Cambria Math"/>
          <w:szCs w:val="20"/>
        </w:rPr>
        <w:t>‑</w:t>
      </w:r>
      <w:r w:rsidR="00132A0E" w:rsidRPr="48B196EB">
        <w:rPr>
          <w:rFonts w:eastAsia="Arial"/>
          <w:szCs w:val="20"/>
        </w:rPr>
        <w:t xml:space="preserve">inhibitor </w:t>
      </w:r>
      <w:r w:rsidRPr="48B196EB">
        <w:rPr>
          <w:rFonts w:cs="Arial"/>
        </w:rPr>
        <w:t>(HAE-C1INH)</w:t>
      </w:r>
      <w:r w:rsidR="005A6579">
        <w:rPr>
          <w:rFonts w:cs="Arial"/>
        </w:rPr>
        <w:t xml:space="preserve">. </w:t>
      </w:r>
    </w:p>
    <w:p w14:paraId="51238D24" w14:textId="4EBCC77F" w:rsidR="004539A8" w:rsidRPr="009A39DD" w:rsidRDefault="00AB184C" w:rsidP="00907900">
      <w:pPr>
        <w:pStyle w:val="ListParagraph"/>
        <w:numPr>
          <w:ilvl w:val="1"/>
          <w:numId w:val="6"/>
        </w:numPr>
        <w:rPr>
          <w:rFonts w:eastAsia="Arial" w:cs="Arial"/>
          <w:sz w:val="22"/>
          <w:szCs w:val="22"/>
        </w:rPr>
      </w:pPr>
      <w:r w:rsidRPr="007B337D">
        <w:rPr>
          <w:rFonts w:cs="Arial"/>
        </w:rPr>
        <w:lastRenderedPageBreak/>
        <w:t>HAE with normal C1INH (HAE-nl-C1INH, previously called HAE type III</w:t>
      </w:r>
      <w:r w:rsidR="00D92013">
        <w:rPr>
          <w:rFonts w:cs="Arial"/>
        </w:rPr>
        <w:t>)</w:t>
      </w:r>
      <w:r w:rsidR="00FA1DBC">
        <w:rPr>
          <w:rFonts w:cs="Arial"/>
        </w:rPr>
        <w:t>. This form</w:t>
      </w:r>
      <w:r w:rsidR="002375A5">
        <w:rPr>
          <w:rFonts w:cs="Arial"/>
        </w:rPr>
        <w:t xml:space="preserve"> is</w:t>
      </w:r>
      <w:r w:rsidR="00FA1DBC">
        <w:rPr>
          <w:rFonts w:cs="Arial"/>
        </w:rPr>
        <w:t xml:space="preserve"> </w:t>
      </w:r>
      <w:r w:rsidR="00045B24">
        <w:rPr>
          <w:rFonts w:cs="Arial"/>
        </w:rPr>
        <w:t>not as</w:t>
      </w:r>
      <w:r w:rsidR="00FA1DBC">
        <w:rPr>
          <w:rFonts w:cs="Arial"/>
        </w:rPr>
        <w:t xml:space="preserve"> common, </w:t>
      </w:r>
      <w:r w:rsidR="00151159">
        <w:rPr>
          <w:rFonts w:cs="Arial"/>
        </w:rPr>
        <w:t>accounting</w:t>
      </w:r>
      <w:r w:rsidR="00FA1DBC">
        <w:rPr>
          <w:rFonts w:cs="Arial"/>
        </w:rPr>
        <w:t xml:space="preserve"> for less than 1% of HAE cases.</w:t>
      </w:r>
    </w:p>
    <w:p w14:paraId="456AEC46" w14:textId="2E656476" w:rsidR="004852D2" w:rsidRPr="00096284" w:rsidRDefault="007B337D" w:rsidP="00907900">
      <w:pPr>
        <w:pStyle w:val="ListParagraph"/>
      </w:pPr>
      <w:r w:rsidRPr="00096284">
        <w:rPr>
          <w:rFonts w:cs="Arial"/>
        </w:rPr>
        <w:t xml:space="preserve">Within </w:t>
      </w:r>
      <w:r w:rsidR="002375A5" w:rsidRPr="48B196EB">
        <w:rPr>
          <w:rFonts w:cs="Arial"/>
        </w:rPr>
        <w:t>HAE-C1INH</w:t>
      </w:r>
      <w:r w:rsidRPr="00096284">
        <w:rPr>
          <w:rFonts w:cs="Arial"/>
        </w:rPr>
        <w:t xml:space="preserve">, there are 2 main types: type I and type II. </w:t>
      </w:r>
    </w:p>
    <w:p w14:paraId="27E00C74" w14:textId="547DC96C" w:rsidR="004852D2" w:rsidRPr="00096284" w:rsidRDefault="007B337D" w:rsidP="00907900">
      <w:pPr>
        <w:pStyle w:val="ListParagraph"/>
        <w:numPr>
          <w:ilvl w:val="1"/>
          <w:numId w:val="6"/>
        </w:numPr>
      </w:pPr>
      <w:r w:rsidRPr="00096284">
        <w:rPr>
          <w:rFonts w:cs="Arial"/>
        </w:rPr>
        <w:t>Type I (occurs in 80-85% of HAE cases) has low levels of C1-inhibitor</w:t>
      </w:r>
      <w:r w:rsidR="00BE63F3">
        <w:rPr>
          <w:rFonts w:cs="Arial"/>
        </w:rPr>
        <w:t>.</w:t>
      </w:r>
    </w:p>
    <w:p w14:paraId="28FF2DF7" w14:textId="2D335516" w:rsidR="007B337D" w:rsidRPr="00096284" w:rsidRDefault="004852D2" w:rsidP="00907900">
      <w:pPr>
        <w:pStyle w:val="ListParagraph"/>
        <w:numPr>
          <w:ilvl w:val="1"/>
          <w:numId w:val="6"/>
        </w:numPr>
      </w:pPr>
      <w:r w:rsidRPr="00096284">
        <w:rPr>
          <w:rFonts w:cs="Arial"/>
        </w:rPr>
        <w:t>T</w:t>
      </w:r>
      <w:r w:rsidR="007B337D" w:rsidRPr="00096284">
        <w:rPr>
          <w:rFonts w:cs="Arial"/>
        </w:rPr>
        <w:t>ype II (occurs in 15-20% of HAE cases) has normal</w:t>
      </w:r>
      <w:r w:rsidR="000242FE">
        <w:rPr>
          <w:rFonts w:cs="Arial"/>
        </w:rPr>
        <w:t xml:space="preserve"> or </w:t>
      </w:r>
      <w:r w:rsidR="007B337D" w:rsidRPr="00096284">
        <w:rPr>
          <w:rFonts w:cs="Arial"/>
        </w:rPr>
        <w:t>elevated levels of C1-inhibitor</w:t>
      </w:r>
      <w:r w:rsidR="000242FE">
        <w:rPr>
          <w:rFonts w:cs="Arial"/>
        </w:rPr>
        <w:t>,</w:t>
      </w:r>
      <w:r w:rsidR="007B337D" w:rsidRPr="00096284">
        <w:rPr>
          <w:rFonts w:cs="Arial"/>
        </w:rPr>
        <w:t xml:space="preserve"> but C1-inhibitor does not function properly.</w:t>
      </w:r>
    </w:p>
    <w:p w14:paraId="0C241E11" w14:textId="417EBA2E" w:rsidR="00EC24ED" w:rsidRPr="002548C8" w:rsidRDefault="00253C27" w:rsidP="009A39DD">
      <w:pPr>
        <w:pStyle w:val="ListParagraph"/>
        <w:rPr>
          <w:rFonts w:cs="Arial"/>
        </w:rPr>
      </w:pPr>
      <w:r w:rsidRPr="002548C8">
        <w:rPr>
          <w:rFonts w:cs="Arial"/>
        </w:rPr>
        <w:t>The most important intervention for a patient who has been newly diagnosed with HAE is education about the disease, attack triggers, potential risks, and the benefits of early treatment of HAE attacks. General fear of attacks, and specifically the fear of fatal laryngeal episodes, can lead to high rates of depression and anxiety among patients with HAE, adding further quality-of-life (Q</w:t>
      </w:r>
      <w:r w:rsidR="005704B3" w:rsidRPr="002548C8">
        <w:rPr>
          <w:rFonts w:cs="Arial"/>
        </w:rPr>
        <w:t>o</w:t>
      </w:r>
      <w:r w:rsidRPr="002548C8">
        <w:rPr>
          <w:rFonts w:cs="Arial"/>
        </w:rPr>
        <w:t>L) burdens.</w:t>
      </w:r>
    </w:p>
    <w:p w14:paraId="25D2F85A" w14:textId="77777777" w:rsidR="00253C27" w:rsidRPr="002548C8" w:rsidRDefault="00253C27" w:rsidP="00907900">
      <w:pPr>
        <w:pStyle w:val="ListParagraph"/>
        <w:rPr>
          <w:rFonts w:cs="Arial"/>
        </w:rPr>
      </w:pPr>
      <w:r w:rsidRPr="002548C8">
        <w:rPr>
          <w:rFonts w:cs="Arial"/>
        </w:rPr>
        <w:t xml:space="preserve">Current guidelines for diagnosing and managing HAE state that most known gene variations linked to HAE with normal C1-INH are associated with bradykinin-mediated angioedema. As a result, management of presumed HAE-nl-C1INH generally mirrors that of HAE-C1INH. </w:t>
      </w:r>
    </w:p>
    <w:p w14:paraId="4D21EAF1" w14:textId="103550F7" w:rsidR="001E4CBA" w:rsidRPr="00541100" w:rsidRDefault="00253C27" w:rsidP="00907900">
      <w:pPr>
        <w:pStyle w:val="ListParagraph"/>
        <w:rPr>
          <w:rFonts w:cs="Arial"/>
        </w:rPr>
      </w:pPr>
      <w:r w:rsidRPr="00541100">
        <w:rPr>
          <w:rFonts w:cs="Arial"/>
        </w:rPr>
        <w:t>There are two broad treatment strategies used for the medical management of HAE: on-demand therapy to minimize the impact of HAE attacks and</w:t>
      </w:r>
      <w:r w:rsidR="00616787">
        <w:rPr>
          <w:rFonts w:cs="Arial"/>
        </w:rPr>
        <w:t xml:space="preserve"> long-term</w:t>
      </w:r>
      <w:r w:rsidRPr="00541100">
        <w:rPr>
          <w:rFonts w:cs="Arial"/>
        </w:rPr>
        <w:t xml:space="preserve"> prophylactic therapy to reduce the frequency and severity of attacks. The decision regarding when to use long-term prophylactic treatment should be individualized to the patient’s specific conditions, such as age, method of administration, </w:t>
      </w:r>
      <w:r w:rsidR="007E76DC">
        <w:rPr>
          <w:rFonts w:cs="Arial"/>
        </w:rPr>
        <w:t xml:space="preserve">and </w:t>
      </w:r>
      <w:r w:rsidRPr="00541100">
        <w:rPr>
          <w:rFonts w:cs="Arial"/>
        </w:rPr>
        <w:t>side effect</w:t>
      </w:r>
      <w:r w:rsidR="007E76DC">
        <w:rPr>
          <w:rFonts w:cs="Arial"/>
        </w:rPr>
        <w:t>s.</w:t>
      </w:r>
    </w:p>
    <w:p w14:paraId="050492C1" w14:textId="4F1840ED" w:rsidR="00BC5635" w:rsidRPr="00C02553" w:rsidRDefault="003A43A6" w:rsidP="00BC46EE">
      <w:pPr>
        <w:pStyle w:val="Style2"/>
      </w:pPr>
      <w:bookmarkStart w:id="0" w:name="_Hlk34120952"/>
      <w:r>
        <w:t>Drug Clinical Highlights</w:t>
      </w:r>
    </w:p>
    <w:p w14:paraId="4EA8B782" w14:textId="77777777" w:rsidR="00C541C9" w:rsidRPr="00A5153B" w:rsidRDefault="00C541C9" w:rsidP="0022031B">
      <w:pPr>
        <w:pStyle w:val="NoSpacing"/>
        <w:spacing w:before="60" w:after="60"/>
        <w:rPr>
          <w:sz w:val="20"/>
          <w:szCs w:val="20"/>
          <w:u w:val="single"/>
        </w:rPr>
      </w:pPr>
      <w:r w:rsidRPr="00A5153B">
        <w:rPr>
          <w:sz w:val="20"/>
          <w:szCs w:val="20"/>
          <w:u w:val="single"/>
        </w:rPr>
        <w:t>Warnings/Precautions</w:t>
      </w:r>
    </w:p>
    <w:p w14:paraId="3994E4E5" w14:textId="365D6837" w:rsidR="00C541C9" w:rsidRDefault="00C541C9" w:rsidP="00907900">
      <w:pPr>
        <w:pStyle w:val="ListParagraph"/>
      </w:pPr>
      <w:r>
        <w:t xml:space="preserve">Hypersensitivity reaction, including </w:t>
      </w:r>
      <w:r w:rsidRPr="00D9485B">
        <w:t>anaphylaxis, have been reported in patients treated with</w:t>
      </w:r>
      <w:r>
        <w:t xml:space="preserve"> Dawnzera</w:t>
      </w:r>
      <w:r w:rsidR="00543271">
        <w:t>.</w:t>
      </w:r>
    </w:p>
    <w:p w14:paraId="3B6E74D4" w14:textId="77777777" w:rsidR="00C541C9" w:rsidRPr="00A5153B" w:rsidRDefault="00C541C9" w:rsidP="0022031B">
      <w:pPr>
        <w:pStyle w:val="NoSpacing"/>
        <w:spacing w:before="60" w:after="60"/>
        <w:rPr>
          <w:sz w:val="20"/>
          <w:szCs w:val="20"/>
          <w:u w:val="single"/>
        </w:rPr>
      </w:pPr>
      <w:r w:rsidRPr="00A5153B">
        <w:rPr>
          <w:sz w:val="20"/>
          <w:szCs w:val="20"/>
          <w:u w:val="single"/>
        </w:rPr>
        <w:t>Pregnancy and Lactation</w:t>
      </w:r>
    </w:p>
    <w:p w14:paraId="1784AC4E" w14:textId="4D91EE05" w:rsidR="00C541C9" w:rsidRDefault="00C541C9" w:rsidP="000D4D6E">
      <w:pPr>
        <w:pStyle w:val="ListParagraph"/>
      </w:pPr>
      <w:r w:rsidRPr="002827D4">
        <w:t xml:space="preserve">There are no available data on </w:t>
      </w:r>
      <w:r w:rsidR="00543271" w:rsidRPr="00543271">
        <w:t>Dawnzera</w:t>
      </w:r>
      <w:r w:rsidR="00543271" w:rsidRPr="00543271" w:rsidDel="00543271">
        <w:t xml:space="preserve"> </w:t>
      </w:r>
      <w:r w:rsidRPr="002827D4">
        <w:t>use in pregnant women to evaluate for a drug-associated risk of major birth defects, miscarriage, or other adverse maternal or fetal outcomes.</w:t>
      </w:r>
      <w:r w:rsidRPr="00F81215">
        <w:rPr>
          <w:color w:val="000000"/>
        </w:rPr>
        <w:t xml:space="preserve"> </w:t>
      </w:r>
      <w:r w:rsidR="00543271" w:rsidRPr="00543271">
        <w:rPr>
          <w:color w:val="000000"/>
        </w:rPr>
        <w:t>Dawnzera</w:t>
      </w:r>
      <w:r w:rsidR="00543271" w:rsidRPr="00543271" w:rsidDel="00543271">
        <w:rPr>
          <w:color w:val="000000"/>
        </w:rPr>
        <w:t xml:space="preserve"> </w:t>
      </w:r>
      <w:r w:rsidRPr="00F81215">
        <w:t>does not cross the placental barrier.</w:t>
      </w:r>
      <w:r w:rsidRPr="006540B3">
        <w:rPr>
          <w:color w:val="000000"/>
        </w:rPr>
        <w:t xml:space="preserve"> </w:t>
      </w:r>
      <w:r>
        <w:t xml:space="preserve">There </w:t>
      </w:r>
      <w:r w:rsidR="00441968">
        <w:t>were</w:t>
      </w:r>
      <w:r>
        <w:t xml:space="preserve"> </w:t>
      </w:r>
      <w:r w:rsidRPr="008C5238">
        <w:t xml:space="preserve">no adverse effects on </w:t>
      </w:r>
      <w:r w:rsidRPr="00D06EE1">
        <w:t>mouse</w:t>
      </w:r>
      <w:r w:rsidRPr="00D06EE1">
        <w:noBreakHyphen/>
        <w:t xml:space="preserve">specific surrogate </w:t>
      </w:r>
      <w:r w:rsidRPr="008C5238">
        <w:t>embryofetal development. </w:t>
      </w:r>
    </w:p>
    <w:p w14:paraId="57D2E428" w14:textId="338EC48F" w:rsidR="00C541C9" w:rsidRDefault="00C541C9" w:rsidP="000D4D6E">
      <w:pPr>
        <w:pStyle w:val="ListParagraph"/>
      </w:pPr>
      <w:r w:rsidRPr="00F0135A">
        <w:t xml:space="preserve">There </w:t>
      </w:r>
      <w:r w:rsidR="007C7DB3">
        <w:t>are</w:t>
      </w:r>
      <w:r w:rsidRPr="00F0135A">
        <w:t xml:space="preserve"> no data on the presence of </w:t>
      </w:r>
      <w:r w:rsidR="00441968" w:rsidRPr="00441968">
        <w:t>Dawnzera</w:t>
      </w:r>
      <w:r w:rsidR="00441968" w:rsidRPr="00441968" w:rsidDel="00441968">
        <w:t xml:space="preserve"> </w:t>
      </w:r>
      <w:r w:rsidRPr="00F0135A">
        <w:t>in human milk, the effects on the breast</w:t>
      </w:r>
      <w:r w:rsidRPr="00F0135A">
        <w:noBreakHyphen/>
        <w:t>fed infant, or the effects on milk production. </w:t>
      </w:r>
      <w:r w:rsidRPr="00A5153B">
        <w:t xml:space="preserve">Even though </w:t>
      </w:r>
      <w:r w:rsidR="00441968" w:rsidRPr="00441968">
        <w:t>Dawnzera</w:t>
      </w:r>
      <w:r w:rsidR="00441968" w:rsidRPr="00441968" w:rsidDel="00441968">
        <w:t xml:space="preserve"> </w:t>
      </w:r>
      <w:r w:rsidRPr="00A5153B">
        <w:t>was detected in the maternal mouse milk, systemic exposure in pups was not expected due to the lack of oral absorption.</w:t>
      </w:r>
    </w:p>
    <w:p w14:paraId="01C6D4D9" w14:textId="77777777" w:rsidR="00C541C9" w:rsidRDefault="00C541C9" w:rsidP="0022031B">
      <w:pPr>
        <w:pStyle w:val="NoSpacing"/>
        <w:spacing w:before="60" w:after="60"/>
        <w:rPr>
          <w:sz w:val="20"/>
          <w:szCs w:val="20"/>
          <w:u w:val="single"/>
        </w:rPr>
      </w:pPr>
      <w:r w:rsidRPr="48B196EB">
        <w:rPr>
          <w:sz w:val="20"/>
          <w:szCs w:val="20"/>
          <w:u w:val="single"/>
        </w:rPr>
        <w:t>Renal and Hepatic Impairment</w:t>
      </w:r>
    </w:p>
    <w:p w14:paraId="43E0466C" w14:textId="77777777" w:rsidR="00C541C9" w:rsidRDefault="00C541C9" w:rsidP="000D4D6E">
      <w:pPr>
        <w:pStyle w:val="ListParagraph"/>
      </w:pPr>
      <w:r w:rsidRPr="48B196EB">
        <w:t xml:space="preserve">No dose adjustment is required in patients with mild renal impairment. It has not been studied in patients with moderate or severe renal impairment or end-stage renal disease. </w:t>
      </w:r>
    </w:p>
    <w:p w14:paraId="0DFA82EB" w14:textId="77777777" w:rsidR="00C541C9" w:rsidRPr="00417F7D" w:rsidRDefault="00C541C9" w:rsidP="000D4D6E">
      <w:pPr>
        <w:pStyle w:val="ListParagraph"/>
      </w:pPr>
      <w:r w:rsidRPr="48B196EB">
        <w:t xml:space="preserve">No dosage adjustment is required in patients with mild hepatic impairment. It has not been studied in patients with moderate or severe hepatic impairment. </w:t>
      </w:r>
    </w:p>
    <w:p w14:paraId="0279E4D1" w14:textId="77777777" w:rsidR="00C541C9" w:rsidRPr="00C541C9" w:rsidRDefault="00C541C9" w:rsidP="0022031B">
      <w:pPr>
        <w:pStyle w:val="NoSpacing"/>
        <w:spacing w:before="60" w:after="60"/>
        <w:ind w:left="397" w:hanging="397"/>
        <w:rPr>
          <w:sz w:val="20"/>
          <w:szCs w:val="20"/>
          <w:u w:val="single"/>
        </w:rPr>
      </w:pPr>
      <w:r w:rsidRPr="00C541C9">
        <w:rPr>
          <w:sz w:val="20"/>
          <w:szCs w:val="20"/>
          <w:u w:val="single"/>
        </w:rPr>
        <w:t>Clinical Studies</w:t>
      </w:r>
    </w:p>
    <w:p w14:paraId="194BE372" w14:textId="28E9AC1C" w:rsidR="00C541C9" w:rsidRDefault="00C541C9" w:rsidP="0022031B">
      <w:pPr>
        <w:pStyle w:val="NoSpacing"/>
        <w:spacing w:before="60" w:after="60"/>
        <w:rPr>
          <w:sz w:val="20"/>
          <w:szCs w:val="20"/>
        </w:rPr>
      </w:pPr>
      <w:r w:rsidRPr="48B196EB">
        <w:rPr>
          <w:sz w:val="20"/>
          <w:szCs w:val="20"/>
        </w:rPr>
        <w:t>OASIS-HAE study (Study NCT05139810)</w:t>
      </w:r>
      <w:r w:rsidR="00EE4117">
        <w:rPr>
          <w:sz w:val="20"/>
          <w:szCs w:val="20"/>
        </w:rPr>
        <w:t xml:space="preserve"> </w:t>
      </w:r>
      <w:r w:rsidRPr="48B196EB">
        <w:rPr>
          <w:sz w:val="20"/>
          <w:szCs w:val="20"/>
        </w:rPr>
        <w:t xml:space="preserve">- A 24-week multi-center, double-blind, randomized, placebo-controlled study of 90 participants with HAE. </w:t>
      </w:r>
    </w:p>
    <w:p w14:paraId="57B1A739" w14:textId="067412CD" w:rsidR="000D6DC1" w:rsidRDefault="000D6DC1" w:rsidP="000D4D6E">
      <w:pPr>
        <w:pStyle w:val="ListParagraph"/>
      </w:pPr>
      <w:r>
        <w:t>Study Population: n = 90</w:t>
      </w:r>
    </w:p>
    <w:p w14:paraId="4F3BEABE" w14:textId="13B8356E" w:rsidR="009A07D8" w:rsidRDefault="009A07D8" w:rsidP="000D4D6E">
      <w:pPr>
        <w:pStyle w:val="ListParagraph"/>
        <w:numPr>
          <w:ilvl w:val="1"/>
          <w:numId w:val="6"/>
        </w:numPr>
      </w:pPr>
      <w:r w:rsidRPr="48B196EB">
        <w:t>Mean age: 37.2 years (SD 14)</w:t>
      </w:r>
    </w:p>
    <w:p w14:paraId="48A950AB" w14:textId="5FA9FF97" w:rsidR="009A07D8" w:rsidRDefault="00D8186A" w:rsidP="000D4D6E">
      <w:pPr>
        <w:pStyle w:val="ListParagraph"/>
        <w:numPr>
          <w:ilvl w:val="1"/>
          <w:numId w:val="6"/>
        </w:numPr>
      </w:pPr>
      <w:r>
        <w:t>Study population y</w:t>
      </w:r>
      <w:r w:rsidR="009A07D8" w:rsidRPr="48B196EB">
        <w:t>ounger than or equal to 17 years</w:t>
      </w:r>
      <w:r w:rsidR="004F7521">
        <w:t>: 8%</w:t>
      </w:r>
    </w:p>
    <w:p w14:paraId="22887B34" w14:textId="73FEB0C5" w:rsidR="009A07D8" w:rsidRDefault="00332DF3" w:rsidP="000D4D6E">
      <w:pPr>
        <w:pStyle w:val="ListParagraph"/>
        <w:numPr>
          <w:ilvl w:val="1"/>
          <w:numId w:val="6"/>
        </w:numPr>
      </w:pPr>
      <w:r>
        <w:t>Study population with</w:t>
      </w:r>
      <w:r w:rsidR="009A07D8" w:rsidRPr="48B196EB">
        <w:t xml:space="preserve"> Type I</w:t>
      </w:r>
      <w:r>
        <w:t xml:space="preserve"> HAE</w:t>
      </w:r>
      <w:r w:rsidR="004F7521">
        <w:t>: 93%</w:t>
      </w:r>
    </w:p>
    <w:p w14:paraId="213E0090" w14:textId="31415213" w:rsidR="009A07D8" w:rsidRDefault="000307C9" w:rsidP="000D4D6E">
      <w:pPr>
        <w:pStyle w:val="ListParagraph"/>
        <w:numPr>
          <w:ilvl w:val="1"/>
          <w:numId w:val="6"/>
        </w:numPr>
      </w:pPr>
      <w:r>
        <w:t>Fema</w:t>
      </w:r>
      <w:r w:rsidR="00340777">
        <w:t xml:space="preserve">le: </w:t>
      </w:r>
      <w:r w:rsidR="009A07D8" w:rsidRPr="48B196EB">
        <w:t>53.3%</w:t>
      </w:r>
      <w:r w:rsidR="00340777">
        <w:t xml:space="preserve"> </w:t>
      </w:r>
    </w:p>
    <w:p w14:paraId="1D986DB1" w14:textId="00CC19D7" w:rsidR="000D6DC1" w:rsidRDefault="009A07D8" w:rsidP="000D4D6E">
      <w:pPr>
        <w:pStyle w:val="ListParagraph"/>
        <w:numPr>
          <w:ilvl w:val="1"/>
          <w:numId w:val="6"/>
        </w:numPr>
      </w:pPr>
      <w:r w:rsidRPr="48B196EB">
        <w:t xml:space="preserve">91.1% </w:t>
      </w:r>
      <w:r w:rsidR="00613801">
        <w:t>W</w:t>
      </w:r>
      <w:r w:rsidRPr="48B196EB">
        <w:t>hite; 3.3% American Indian/Alaskan Native; 2.2% Black</w:t>
      </w:r>
      <w:r w:rsidR="00613801">
        <w:t>; 3.4% Other</w:t>
      </w:r>
    </w:p>
    <w:p w14:paraId="504EC088" w14:textId="22EDC0C8" w:rsidR="009A07D8" w:rsidRDefault="009A07D8" w:rsidP="000D4D6E">
      <w:pPr>
        <w:pStyle w:val="ListParagraph"/>
      </w:pPr>
      <w:r>
        <w:t>Inclusion Criteria:</w:t>
      </w:r>
    </w:p>
    <w:p w14:paraId="7E595A71" w14:textId="277A601B" w:rsidR="00575D2C" w:rsidRPr="00575D2C" w:rsidRDefault="00780009" w:rsidP="000D4D6E">
      <w:pPr>
        <w:pStyle w:val="ListParagraph"/>
        <w:numPr>
          <w:ilvl w:val="1"/>
          <w:numId w:val="6"/>
        </w:numPr>
      </w:pPr>
      <w:r>
        <w:t>Age</w:t>
      </w:r>
      <w:r w:rsidR="00575D2C" w:rsidRPr="00575D2C">
        <w:t xml:space="preserve"> ≥ 12 years at the time of informed consent</w:t>
      </w:r>
    </w:p>
    <w:p w14:paraId="44EFA2E7" w14:textId="7626FD42" w:rsidR="00575D2C" w:rsidRPr="00575D2C" w:rsidRDefault="00575D2C" w:rsidP="000D4D6E">
      <w:pPr>
        <w:pStyle w:val="ListParagraph"/>
        <w:numPr>
          <w:ilvl w:val="1"/>
          <w:numId w:val="6"/>
        </w:numPr>
      </w:pPr>
      <w:r w:rsidRPr="00575D2C">
        <w:t xml:space="preserve">Documented diagnosis of </w:t>
      </w:r>
      <w:r w:rsidR="00780009">
        <w:t xml:space="preserve">Type I or Type II </w:t>
      </w:r>
      <w:r w:rsidRPr="00575D2C">
        <w:t xml:space="preserve">hereditary angioedema </w:t>
      </w:r>
    </w:p>
    <w:p w14:paraId="1FBE8A30" w14:textId="7CD73E93" w:rsidR="00604568" w:rsidRDefault="00575D2C" w:rsidP="000D4D6E">
      <w:pPr>
        <w:pStyle w:val="ListParagraph"/>
        <w:numPr>
          <w:ilvl w:val="1"/>
          <w:numId w:val="6"/>
        </w:numPr>
      </w:pPr>
      <w:r w:rsidRPr="00575D2C">
        <w:t>Experience</w:t>
      </w:r>
      <w:r w:rsidR="007C7DB3">
        <w:t>d</w:t>
      </w:r>
      <w:r w:rsidRPr="00575D2C">
        <w:t xml:space="preserve"> a minimum of 2 HAE attacks during the Screening Period</w:t>
      </w:r>
      <w:r w:rsidR="00857D88">
        <w:t>, confirmed by the investigator</w:t>
      </w:r>
    </w:p>
    <w:p w14:paraId="5F368F77" w14:textId="2A13F2B8" w:rsidR="00E10BEB" w:rsidRDefault="00E10BEB" w:rsidP="000D4D6E">
      <w:pPr>
        <w:pStyle w:val="ListParagraph"/>
      </w:pPr>
      <w:r>
        <w:t>Exclusion Criteria:</w:t>
      </w:r>
    </w:p>
    <w:p w14:paraId="1522E613" w14:textId="3B380413" w:rsidR="00821232" w:rsidRPr="00821232" w:rsidRDefault="00821232" w:rsidP="000D4D6E">
      <w:pPr>
        <w:pStyle w:val="ListParagraph"/>
        <w:numPr>
          <w:ilvl w:val="1"/>
          <w:numId w:val="6"/>
        </w:numPr>
      </w:pPr>
      <w:r w:rsidRPr="00821232">
        <w:lastRenderedPageBreak/>
        <w:t>Concurrent diagnosis of any other type of recurrent angioedema, including acquired</w:t>
      </w:r>
      <w:r w:rsidR="00EE4117">
        <w:t xml:space="preserve"> or</w:t>
      </w:r>
      <w:r w:rsidRPr="00821232">
        <w:t xml:space="preserve"> idiopathic angioedema or HAE with normal C1-INH (HAE Type III)</w:t>
      </w:r>
      <w:r w:rsidR="00BE721D">
        <w:t>.</w:t>
      </w:r>
    </w:p>
    <w:p w14:paraId="76E120AB" w14:textId="517A2B72" w:rsidR="00821232" w:rsidRPr="00821232" w:rsidRDefault="00821232" w:rsidP="000D4D6E">
      <w:pPr>
        <w:pStyle w:val="ListParagraph"/>
        <w:numPr>
          <w:ilvl w:val="1"/>
          <w:numId w:val="6"/>
        </w:numPr>
      </w:pPr>
      <w:r w:rsidRPr="00821232">
        <w:t>Exposure to angiotensin-converting enzyme (ACE) inhibitors</w:t>
      </w:r>
      <w:r w:rsidR="00D40AF8">
        <w:t xml:space="preserve"> or</w:t>
      </w:r>
      <w:r w:rsidRPr="00821232">
        <w:t xml:space="preserve"> estrogen containing medications with systemic absorption within 4 weeks</w:t>
      </w:r>
      <w:r w:rsidR="00BE721D">
        <w:t>.</w:t>
      </w:r>
    </w:p>
    <w:p w14:paraId="35AF420C" w14:textId="7DDD3986" w:rsidR="00821232" w:rsidRPr="00821232" w:rsidRDefault="00D40AF8" w:rsidP="000D4D6E">
      <w:pPr>
        <w:pStyle w:val="ListParagraph"/>
        <w:numPr>
          <w:ilvl w:val="1"/>
          <w:numId w:val="6"/>
        </w:numPr>
      </w:pPr>
      <w:r>
        <w:t>History of</w:t>
      </w:r>
      <w:r w:rsidR="00821232" w:rsidRPr="00821232">
        <w:t xml:space="preserve"> chronic prophylaxis with Takhzyro</w:t>
      </w:r>
      <w:r w:rsidR="00D30D11" w:rsidRPr="00D30D11">
        <w:rPr>
          <w:vertAlign w:val="superscript"/>
        </w:rPr>
        <w:t xml:space="preserve"> </w:t>
      </w:r>
      <w:r w:rsidR="00D30D11" w:rsidRPr="0037426F">
        <w:rPr>
          <w:vertAlign w:val="superscript"/>
        </w:rPr>
        <w:t>®</w:t>
      </w:r>
      <w:r w:rsidR="00821232" w:rsidRPr="00821232">
        <w:t>, Haegarda</w:t>
      </w:r>
      <w:r w:rsidR="00D30D11" w:rsidRPr="0037426F">
        <w:rPr>
          <w:vertAlign w:val="superscript"/>
        </w:rPr>
        <w:t>®</w:t>
      </w:r>
      <w:r w:rsidR="00821232" w:rsidRPr="00821232">
        <w:t>, Cinryze</w:t>
      </w:r>
      <w:r w:rsidR="00D30D11" w:rsidRPr="0037426F">
        <w:rPr>
          <w:vertAlign w:val="superscript"/>
        </w:rPr>
        <w:t>®</w:t>
      </w:r>
      <w:r w:rsidR="00821232" w:rsidRPr="00821232">
        <w:t xml:space="preserve"> and Ruconest</w:t>
      </w:r>
      <w:r w:rsidR="00F17BCF" w:rsidRPr="0037426F">
        <w:rPr>
          <w:vertAlign w:val="superscript"/>
        </w:rPr>
        <w:t>®</w:t>
      </w:r>
      <w:r w:rsidR="00821232" w:rsidRPr="00821232">
        <w:t xml:space="preserve"> or Orladeyo</w:t>
      </w:r>
      <w:r w:rsidR="00D30D11" w:rsidRPr="0037426F">
        <w:rPr>
          <w:vertAlign w:val="superscript"/>
        </w:rPr>
        <w:t>®</w:t>
      </w:r>
      <w:r w:rsidR="00821232" w:rsidRPr="00821232">
        <w:t xml:space="preserve"> within 5 half-lives prior to </w:t>
      </w:r>
      <w:r w:rsidR="00AF464F">
        <w:t>s</w:t>
      </w:r>
      <w:r w:rsidR="00AF464F" w:rsidRPr="00821232">
        <w:t>creening</w:t>
      </w:r>
      <w:r w:rsidR="00BE721D">
        <w:t>.</w:t>
      </w:r>
    </w:p>
    <w:p w14:paraId="49F20C17" w14:textId="6EC0842F" w:rsidR="00E10BEB" w:rsidRDefault="00821232" w:rsidP="000D4D6E">
      <w:pPr>
        <w:pStyle w:val="ListParagraph"/>
        <w:numPr>
          <w:ilvl w:val="1"/>
          <w:numId w:val="6"/>
        </w:numPr>
      </w:pPr>
      <w:r w:rsidRPr="00821232">
        <w:t xml:space="preserve">Oligonucleotides (including small interfering ribonucleic acid [siRNA]) within 4 months of </w:t>
      </w:r>
      <w:r w:rsidR="009F5BE0">
        <w:t>s</w:t>
      </w:r>
      <w:r w:rsidRPr="00821232">
        <w:t>creening if</w:t>
      </w:r>
      <w:r w:rsidR="00FD6362">
        <w:t xml:space="preserve"> </w:t>
      </w:r>
      <w:r w:rsidRPr="00821232">
        <w:t>single dose received, or within 12 months of Screening if multiple doses received. This exclusion does not apply to vaccines</w:t>
      </w:r>
      <w:r w:rsidR="00BE721D">
        <w:t>.</w:t>
      </w:r>
    </w:p>
    <w:p w14:paraId="60551E05" w14:textId="470CC726" w:rsidR="00BE721D" w:rsidRDefault="00BE721D" w:rsidP="000D4D6E">
      <w:pPr>
        <w:pStyle w:val="ListParagraph"/>
      </w:pPr>
      <w:r>
        <w:t>Interventions:</w:t>
      </w:r>
    </w:p>
    <w:p w14:paraId="5B92FD86" w14:textId="3E07375A" w:rsidR="0057404B" w:rsidRPr="0057404B" w:rsidRDefault="0057404B" w:rsidP="000D4D6E">
      <w:pPr>
        <w:pStyle w:val="ListParagraph"/>
        <w:numPr>
          <w:ilvl w:val="1"/>
          <w:numId w:val="6"/>
        </w:numPr>
      </w:pPr>
      <w:r w:rsidRPr="0057404B">
        <w:t>90 participants were randomly assigned in a 2:1</w:t>
      </w:r>
      <w:r w:rsidR="006247B9">
        <w:t>:1</w:t>
      </w:r>
      <w:r w:rsidRPr="0057404B">
        <w:t xml:space="preserve"> ratio to Cohort A (</w:t>
      </w:r>
      <w:r w:rsidR="009D1D4A">
        <w:t>Dawnzera</w:t>
      </w:r>
      <w:r w:rsidRPr="0057404B">
        <w:t xml:space="preserve"> 80 mg every 4 weeks, n=45)</w:t>
      </w:r>
      <w:r w:rsidR="001F034E">
        <w:t xml:space="preserve">, </w:t>
      </w:r>
      <w:r w:rsidRPr="0057404B">
        <w:t>Cohort B (</w:t>
      </w:r>
      <w:r w:rsidR="001F0B7C">
        <w:t>Dawnzera</w:t>
      </w:r>
      <w:r w:rsidR="001F0B7C" w:rsidRPr="0057404B">
        <w:t xml:space="preserve"> </w:t>
      </w:r>
      <w:r w:rsidRPr="0057404B">
        <w:t xml:space="preserve">80 mg every 8 weeks, n=23), </w:t>
      </w:r>
      <w:r w:rsidR="001F034E">
        <w:t>or</w:t>
      </w:r>
      <w:r w:rsidR="009D1D4A">
        <w:t xml:space="preserve"> Placebo (n=22) </w:t>
      </w:r>
      <w:r w:rsidRPr="0057404B">
        <w:t xml:space="preserve">respectively.  </w:t>
      </w:r>
    </w:p>
    <w:p w14:paraId="62A55C54" w14:textId="0645AD3D" w:rsidR="0057404B" w:rsidRDefault="0057404B" w:rsidP="000D4D6E">
      <w:pPr>
        <w:pStyle w:val="ListParagraph"/>
      </w:pPr>
      <w:r>
        <w:t>Endpoints:</w:t>
      </w:r>
    </w:p>
    <w:p w14:paraId="2BBCDD82" w14:textId="77777777" w:rsidR="00DE1BC9" w:rsidRDefault="0057404B" w:rsidP="000D4D6E">
      <w:pPr>
        <w:pStyle w:val="ListParagraph"/>
        <w:numPr>
          <w:ilvl w:val="1"/>
          <w:numId w:val="6"/>
        </w:numPr>
      </w:pPr>
      <w:r>
        <w:t xml:space="preserve">Primary: </w:t>
      </w:r>
      <w:r w:rsidR="00DE1BC9" w:rsidRPr="48B196EB">
        <w:t>Time-Normalized Investigator-Confirmed (IC) HAE Attack Rate (Per Month) From Week 1 to Week 25</w:t>
      </w:r>
    </w:p>
    <w:p w14:paraId="4A7F3765" w14:textId="19D3608A" w:rsidR="002A2605" w:rsidRDefault="002A2605" w:rsidP="000D4D6E">
      <w:pPr>
        <w:ind w:left="360"/>
      </w:pPr>
    </w:p>
    <w:tbl>
      <w:tblPr>
        <w:tblStyle w:val="TableGrid"/>
        <w:tblW w:w="6652" w:type="dxa"/>
        <w:jc w:val="center"/>
        <w:tblLayout w:type="fixed"/>
        <w:tblLook w:val="06A0" w:firstRow="1" w:lastRow="0" w:firstColumn="1" w:lastColumn="0" w:noHBand="1" w:noVBand="1"/>
      </w:tblPr>
      <w:tblGrid>
        <w:gridCol w:w="1663"/>
        <w:gridCol w:w="1663"/>
        <w:gridCol w:w="1663"/>
        <w:gridCol w:w="1663"/>
      </w:tblGrid>
      <w:tr w:rsidR="006247B9" w:rsidRPr="00ED2C4E" w14:paraId="7BEE4B09" w14:textId="7828B164" w:rsidTr="006247B9">
        <w:trPr>
          <w:trHeight w:val="300"/>
          <w:jc w:val="center"/>
        </w:trPr>
        <w:tc>
          <w:tcPr>
            <w:tcW w:w="1663" w:type="dxa"/>
            <w:vAlign w:val="center"/>
          </w:tcPr>
          <w:p w14:paraId="1D3D31A6" w14:textId="77777777" w:rsidR="006247B9" w:rsidRDefault="006247B9" w:rsidP="006247B9">
            <w:pPr>
              <w:pStyle w:val="NoSpacing"/>
              <w:rPr>
                <w:rFonts w:cs="Arial"/>
                <w:b/>
                <w:bCs/>
                <w:sz w:val="18"/>
                <w:szCs w:val="18"/>
              </w:rPr>
            </w:pPr>
            <w:r w:rsidRPr="00ED2C4E">
              <w:rPr>
                <w:rFonts w:cs="Arial"/>
                <w:b/>
                <w:bCs/>
                <w:sz w:val="18"/>
                <w:szCs w:val="18"/>
              </w:rPr>
              <w:t xml:space="preserve">Efficacy Endpoints: </w:t>
            </w:r>
          </w:p>
          <w:p w14:paraId="3F6B0CD8" w14:textId="77777777" w:rsidR="006247B9" w:rsidRPr="006247B9" w:rsidRDefault="006247B9" w:rsidP="006247B9">
            <w:pPr>
              <w:pStyle w:val="NoSpacing"/>
              <w:rPr>
                <w:rFonts w:cs="Arial"/>
                <w:sz w:val="18"/>
                <w:szCs w:val="18"/>
              </w:rPr>
            </w:pPr>
            <w:r w:rsidRPr="006247B9">
              <w:rPr>
                <w:rFonts w:cs="Arial"/>
                <w:sz w:val="18"/>
                <w:szCs w:val="18"/>
              </w:rPr>
              <w:t xml:space="preserve">LS Mean </w:t>
            </w:r>
          </w:p>
          <w:p w14:paraId="0ED5B773" w14:textId="4FA671DD" w:rsidR="006247B9" w:rsidRPr="006247B9" w:rsidRDefault="006247B9" w:rsidP="006247B9">
            <w:pPr>
              <w:pStyle w:val="NoSpacing"/>
              <w:rPr>
                <w:rFonts w:cs="Arial"/>
                <w:sz w:val="18"/>
                <w:szCs w:val="18"/>
              </w:rPr>
            </w:pPr>
            <w:r w:rsidRPr="006247B9">
              <w:rPr>
                <w:rFonts w:cs="Arial"/>
                <w:sz w:val="18"/>
                <w:szCs w:val="18"/>
              </w:rPr>
              <w:t>(95% CI)</w:t>
            </w:r>
          </w:p>
          <w:p w14:paraId="752EECAB" w14:textId="37EB5CEB" w:rsidR="006247B9" w:rsidRPr="00ED2C4E" w:rsidRDefault="006247B9" w:rsidP="006247B9">
            <w:pPr>
              <w:pStyle w:val="NoSpacing"/>
              <w:rPr>
                <w:rFonts w:cs="Arial"/>
                <w:b/>
                <w:bCs/>
                <w:sz w:val="18"/>
                <w:szCs w:val="18"/>
              </w:rPr>
            </w:pPr>
            <w:r w:rsidRPr="006247B9">
              <w:rPr>
                <w:rFonts w:cs="Arial"/>
                <w:i/>
                <w:iCs/>
                <w:sz w:val="18"/>
                <w:szCs w:val="18"/>
              </w:rPr>
              <w:t>P</w:t>
            </w:r>
            <w:r w:rsidRPr="006247B9">
              <w:rPr>
                <w:rFonts w:cs="Arial"/>
                <w:sz w:val="18"/>
                <w:szCs w:val="18"/>
              </w:rPr>
              <w:t>-value</w:t>
            </w:r>
          </w:p>
        </w:tc>
        <w:tc>
          <w:tcPr>
            <w:tcW w:w="1663" w:type="dxa"/>
            <w:vAlign w:val="center"/>
          </w:tcPr>
          <w:p w14:paraId="2D4C52C7" w14:textId="77777777" w:rsidR="006247B9" w:rsidRPr="00ED2C4E" w:rsidRDefault="006247B9" w:rsidP="006247B9">
            <w:pPr>
              <w:pStyle w:val="NoSpacing"/>
              <w:jc w:val="center"/>
              <w:rPr>
                <w:rFonts w:cs="Arial"/>
                <w:b/>
                <w:bCs/>
                <w:sz w:val="18"/>
                <w:szCs w:val="18"/>
              </w:rPr>
            </w:pPr>
            <w:r w:rsidRPr="00ED2C4E">
              <w:rPr>
                <w:rFonts w:cs="Arial"/>
                <w:b/>
                <w:bCs/>
                <w:sz w:val="18"/>
                <w:szCs w:val="18"/>
              </w:rPr>
              <w:t>Cohort A Q4W</w:t>
            </w:r>
          </w:p>
          <w:p w14:paraId="6A6856C4" w14:textId="64107515" w:rsidR="006247B9" w:rsidRPr="00ED2C4E" w:rsidRDefault="006247B9" w:rsidP="006247B9">
            <w:pPr>
              <w:pStyle w:val="NoSpacing"/>
              <w:jc w:val="center"/>
              <w:rPr>
                <w:rFonts w:cs="Arial"/>
                <w:b/>
                <w:bCs/>
                <w:sz w:val="18"/>
                <w:szCs w:val="18"/>
              </w:rPr>
            </w:pPr>
            <w:r w:rsidRPr="00ED2C4E">
              <w:rPr>
                <w:rFonts w:cs="Arial"/>
                <w:b/>
                <w:bCs/>
                <w:sz w:val="18"/>
                <w:szCs w:val="18"/>
              </w:rPr>
              <w:t>(n=45)</w:t>
            </w:r>
          </w:p>
        </w:tc>
        <w:tc>
          <w:tcPr>
            <w:tcW w:w="1663" w:type="dxa"/>
            <w:vAlign w:val="center"/>
          </w:tcPr>
          <w:p w14:paraId="666889D5" w14:textId="77777777" w:rsidR="006247B9" w:rsidRPr="00ED2C4E" w:rsidRDefault="006247B9" w:rsidP="006247B9">
            <w:pPr>
              <w:pStyle w:val="NoSpacing"/>
              <w:jc w:val="center"/>
              <w:rPr>
                <w:rFonts w:cs="Arial"/>
                <w:b/>
                <w:bCs/>
                <w:sz w:val="18"/>
                <w:szCs w:val="18"/>
              </w:rPr>
            </w:pPr>
            <w:r w:rsidRPr="00ED2C4E">
              <w:rPr>
                <w:rFonts w:cs="Arial"/>
                <w:b/>
                <w:bCs/>
                <w:sz w:val="18"/>
                <w:szCs w:val="18"/>
              </w:rPr>
              <w:t>Cohort B Q8W</w:t>
            </w:r>
          </w:p>
          <w:p w14:paraId="3FD57B77" w14:textId="537C9D19" w:rsidR="006247B9" w:rsidRPr="00ED2C4E" w:rsidRDefault="006247B9" w:rsidP="006247B9">
            <w:pPr>
              <w:pStyle w:val="NoSpacing"/>
              <w:jc w:val="center"/>
              <w:rPr>
                <w:rFonts w:cs="Arial"/>
                <w:b/>
                <w:bCs/>
                <w:sz w:val="18"/>
                <w:szCs w:val="18"/>
              </w:rPr>
            </w:pPr>
            <w:r w:rsidRPr="00ED2C4E">
              <w:rPr>
                <w:rFonts w:cs="Arial"/>
                <w:b/>
                <w:bCs/>
                <w:sz w:val="18"/>
                <w:szCs w:val="18"/>
              </w:rPr>
              <w:t>(n=23)</w:t>
            </w:r>
          </w:p>
        </w:tc>
        <w:tc>
          <w:tcPr>
            <w:tcW w:w="1663" w:type="dxa"/>
            <w:vAlign w:val="center"/>
          </w:tcPr>
          <w:p w14:paraId="7344F4FC" w14:textId="77777777" w:rsidR="006247B9" w:rsidRPr="00ED2C4E" w:rsidRDefault="006247B9" w:rsidP="006247B9">
            <w:pPr>
              <w:pStyle w:val="NoSpacing"/>
              <w:jc w:val="center"/>
              <w:rPr>
                <w:rFonts w:cs="Arial"/>
                <w:b/>
                <w:bCs/>
                <w:sz w:val="18"/>
                <w:szCs w:val="18"/>
              </w:rPr>
            </w:pPr>
            <w:r w:rsidRPr="00ED2C4E">
              <w:rPr>
                <w:rFonts w:cs="Arial"/>
                <w:b/>
                <w:bCs/>
                <w:sz w:val="18"/>
                <w:szCs w:val="18"/>
              </w:rPr>
              <w:t>Placebo</w:t>
            </w:r>
          </w:p>
          <w:p w14:paraId="77CDCCCF" w14:textId="37775C10" w:rsidR="006247B9" w:rsidRPr="00ED2C4E" w:rsidRDefault="006247B9" w:rsidP="006247B9">
            <w:pPr>
              <w:pStyle w:val="NoSpacing"/>
              <w:jc w:val="center"/>
              <w:rPr>
                <w:rFonts w:cs="Arial"/>
                <w:b/>
                <w:bCs/>
                <w:sz w:val="18"/>
                <w:szCs w:val="18"/>
              </w:rPr>
            </w:pPr>
            <w:r w:rsidRPr="00ED2C4E">
              <w:rPr>
                <w:rFonts w:cs="Arial"/>
                <w:b/>
                <w:bCs/>
                <w:sz w:val="18"/>
                <w:szCs w:val="18"/>
              </w:rPr>
              <w:t>(n=22)</w:t>
            </w:r>
          </w:p>
        </w:tc>
      </w:tr>
      <w:tr w:rsidR="006247B9" w:rsidRPr="00EA3ABB" w14:paraId="2C687D4A" w14:textId="320773EE" w:rsidTr="006247B9">
        <w:trPr>
          <w:trHeight w:val="300"/>
          <w:jc w:val="center"/>
        </w:trPr>
        <w:tc>
          <w:tcPr>
            <w:tcW w:w="1663" w:type="dxa"/>
            <w:vAlign w:val="center"/>
          </w:tcPr>
          <w:p w14:paraId="09CF832D" w14:textId="77777777" w:rsidR="006247B9" w:rsidRPr="00EA3ABB" w:rsidRDefault="006247B9" w:rsidP="006247B9">
            <w:pPr>
              <w:pStyle w:val="NoSpacing"/>
              <w:rPr>
                <w:rFonts w:cs="Arial"/>
                <w:sz w:val="18"/>
                <w:szCs w:val="18"/>
              </w:rPr>
            </w:pPr>
            <w:r w:rsidRPr="00EA3ABB">
              <w:rPr>
                <w:rFonts w:cs="Arial"/>
                <w:sz w:val="18"/>
                <w:szCs w:val="18"/>
              </w:rPr>
              <w:t>IC HAE attacks per month</w:t>
            </w:r>
          </w:p>
        </w:tc>
        <w:tc>
          <w:tcPr>
            <w:tcW w:w="1663" w:type="dxa"/>
            <w:vAlign w:val="center"/>
          </w:tcPr>
          <w:p w14:paraId="4109B8D4" w14:textId="77777777" w:rsidR="006247B9" w:rsidRDefault="006247B9" w:rsidP="006247B9">
            <w:pPr>
              <w:pStyle w:val="NoSpacing"/>
              <w:jc w:val="center"/>
              <w:rPr>
                <w:rFonts w:cs="Arial"/>
                <w:sz w:val="18"/>
                <w:szCs w:val="18"/>
              </w:rPr>
            </w:pPr>
            <w:r w:rsidRPr="00EA3ABB">
              <w:rPr>
                <w:rFonts w:cs="Arial"/>
                <w:sz w:val="18"/>
                <w:szCs w:val="18"/>
              </w:rPr>
              <w:t>0.44</w:t>
            </w:r>
          </w:p>
          <w:p w14:paraId="2D0479A1" w14:textId="77777777" w:rsidR="006247B9" w:rsidRPr="00EA3ABB" w:rsidRDefault="006247B9" w:rsidP="006247B9">
            <w:pPr>
              <w:pStyle w:val="NoSpacing"/>
              <w:jc w:val="center"/>
              <w:rPr>
                <w:rFonts w:cs="Arial"/>
                <w:sz w:val="18"/>
                <w:szCs w:val="18"/>
              </w:rPr>
            </w:pPr>
            <w:r w:rsidRPr="00EA3ABB">
              <w:rPr>
                <w:rFonts w:cs="Arial"/>
                <w:sz w:val="18"/>
                <w:szCs w:val="18"/>
              </w:rPr>
              <w:t>(0.265 to 0.727)</w:t>
            </w:r>
          </w:p>
          <w:p w14:paraId="1FBADC73" w14:textId="77777777" w:rsidR="006247B9" w:rsidRPr="00EA3ABB" w:rsidRDefault="006247B9" w:rsidP="006247B9">
            <w:pPr>
              <w:pStyle w:val="NoSpacing"/>
              <w:jc w:val="center"/>
              <w:rPr>
                <w:rFonts w:cs="Arial"/>
                <w:sz w:val="18"/>
                <w:szCs w:val="18"/>
              </w:rPr>
            </w:pPr>
            <w:r w:rsidRPr="00EA3ABB">
              <w:rPr>
                <w:rFonts w:cs="Arial"/>
                <w:sz w:val="18"/>
                <w:szCs w:val="18"/>
              </w:rPr>
              <w:t>p&lt;0.001</w:t>
            </w:r>
          </w:p>
        </w:tc>
        <w:tc>
          <w:tcPr>
            <w:tcW w:w="1663" w:type="dxa"/>
            <w:vAlign w:val="center"/>
          </w:tcPr>
          <w:p w14:paraId="5EA7DBC7" w14:textId="77777777" w:rsidR="006247B9" w:rsidRDefault="006247B9" w:rsidP="006247B9">
            <w:pPr>
              <w:pStyle w:val="NoSpacing"/>
              <w:jc w:val="center"/>
              <w:rPr>
                <w:rFonts w:cs="Arial"/>
                <w:sz w:val="18"/>
                <w:szCs w:val="18"/>
              </w:rPr>
            </w:pPr>
            <w:r w:rsidRPr="00EA3ABB">
              <w:rPr>
                <w:rFonts w:cs="Arial"/>
                <w:sz w:val="18"/>
                <w:szCs w:val="18"/>
              </w:rPr>
              <w:t>1.02</w:t>
            </w:r>
          </w:p>
          <w:p w14:paraId="68A73D61" w14:textId="77777777" w:rsidR="006247B9" w:rsidRPr="00EA3ABB" w:rsidRDefault="006247B9" w:rsidP="006247B9">
            <w:pPr>
              <w:pStyle w:val="NoSpacing"/>
              <w:jc w:val="center"/>
              <w:rPr>
                <w:rFonts w:cs="Arial"/>
                <w:sz w:val="18"/>
                <w:szCs w:val="18"/>
              </w:rPr>
            </w:pPr>
            <w:r w:rsidRPr="00EA3ABB">
              <w:rPr>
                <w:rFonts w:cs="Arial"/>
                <w:sz w:val="18"/>
                <w:szCs w:val="18"/>
              </w:rPr>
              <w:t>(0.651 to 1.594)</w:t>
            </w:r>
          </w:p>
          <w:p w14:paraId="72EA9524" w14:textId="77777777" w:rsidR="006247B9" w:rsidRPr="00EA3ABB" w:rsidRDefault="006247B9" w:rsidP="006247B9">
            <w:pPr>
              <w:pStyle w:val="NoSpacing"/>
              <w:jc w:val="center"/>
              <w:rPr>
                <w:rFonts w:cs="Arial"/>
                <w:sz w:val="18"/>
                <w:szCs w:val="18"/>
              </w:rPr>
            </w:pPr>
            <w:r w:rsidRPr="00EA3ABB">
              <w:rPr>
                <w:rFonts w:cs="Arial"/>
                <w:sz w:val="18"/>
                <w:szCs w:val="18"/>
              </w:rPr>
              <w:t>p=0.004</w:t>
            </w:r>
          </w:p>
        </w:tc>
        <w:tc>
          <w:tcPr>
            <w:tcW w:w="1663" w:type="dxa"/>
            <w:vAlign w:val="center"/>
          </w:tcPr>
          <w:p w14:paraId="791396AB" w14:textId="77777777" w:rsidR="006247B9" w:rsidRDefault="006247B9" w:rsidP="006247B9">
            <w:pPr>
              <w:pStyle w:val="NoSpacing"/>
              <w:jc w:val="center"/>
              <w:rPr>
                <w:rFonts w:eastAsia="Times New Roman" w:cs="Arial"/>
                <w:sz w:val="18"/>
                <w:szCs w:val="18"/>
              </w:rPr>
            </w:pPr>
            <w:r w:rsidRPr="00EA3ABB">
              <w:rPr>
                <w:rFonts w:eastAsia="Times New Roman" w:cs="Arial"/>
                <w:sz w:val="18"/>
                <w:szCs w:val="18"/>
              </w:rPr>
              <w:t>2.26</w:t>
            </w:r>
          </w:p>
          <w:p w14:paraId="7F881B8C" w14:textId="77777777" w:rsidR="006247B9" w:rsidRPr="00EA3ABB" w:rsidRDefault="006247B9" w:rsidP="006247B9">
            <w:pPr>
              <w:pStyle w:val="NoSpacing"/>
              <w:jc w:val="center"/>
              <w:rPr>
                <w:rFonts w:cs="Arial"/>
                <w:sz w:val="18"/>
                <w:szCs w:val="18"/>
              </w:rPr>
            </w:pPr>
            <w:r w:rsidRPr="00EA3ABB">
              <w:rPr>
                <w:rFonts w:eastAsia="Times New Roman" w:cs="Arial"/>
                <w:sz w:val="18"/>
                <w:szCs w:val="18"/>
              </w:rPr>
              <w:t>(1.657 to 3.085)</w:t>
            </w:r>
          </w:p>
          <w:p w14:paraId="556166AF" w14:textId="77777777" w:rsidR="006247B9" w:rsidRPr="00EA3ABB" w:rsidRDefault="006247B9" w:rsidP="006247B9">
            <w:pPr>
              <w:pStyle w:val="NoSpacing"/>
              <w:jc w:val="center"/>
              <w:rPr>
                <w:rFonts w:cs="Arial"/>
                <w:sz w:val="18"/>
                <w:szCs w:val="18"/>
              </w:rPr>
            </w:pPr>
          </w:p>
        </w:tc>
      </w:tr>
      <w:tr w:rsidR="006247B9" w:rsidRPr="00EA3ABB" w14:paraId="605EA041" w14:textId="6ACFE02D" w:rsidTr="006247B9">
        <w:trPr>
          <w:trHeight w:val="300"/>
          <w:jc w:val="center"/>
        </w:trPr>
        <w:tc>
          <w:tcPr>
            <w:tcW w:w="1663" w:type="dxa"/>
            <w:vAlign w:val="center"/>
          </w:tcPr>
          <w:p w14:paraId="782A334B" w14:textId="717E82B6" w:rsidR="006247B9" w:rsidRDefault="006247B9" w:rsidP="006247B9">
            <w:pPr>
              <w:pStyle w:val="NoSpacing"/>
              <w:rPr>
                <w:rFonts w:cs="Arial"/>
                <w:sz w:val="18"/>
                <w:szCs w:val="18"/>
              </w:rPr>
            </w:pPr>
            <w:r w:rsidRPr="00EA3ABB">
              <w:rPr>
                <w:rFonts w:cs="Arial"/>
                <w:sz w:val="18"/>
                <w:szCs w:val="18"/>
              </w:rPr>
              <w:t>% reduction</w:t>
            </w:r>
            <w:r w:rsidR="001F034E">
              <w:rPr>
                <w:rFonts w:cs="Arial"/>
                <w:sz w:val="18"/>
                <w:szCs w:val="18"/>
              </w:rPr>
              <w:t xml:space="preserve"> </w:t>
            </w:r>
            <w:r w:rsidRPr="00EA3ABB">
              <w:rPr>
                <w:rFonts w:cs="Arial"/>
                <w:sz w:val="18"/>
                <w:szCs w:val="18"/>
              </w:rPr>
              <w:t>relative to placebo</w:t>
            </w:r>
          </w:p>
          <w:p w14:paraId="3F9B596C" w14:textId="6D665755" w:rsidR="001F034E" w:rsidRPr="00EA3ABB" w:rsidRDefault="001F034E" w:rsidP="006247B9">
            <w:pPr>
              <w:pStyle w:val="NoSpacing"/>
              <w:rPr>
                <w:rFonts w:cs="Arial"/>
                <w:sz w:val="18"/>
                <w:szCs w:val="18"/>
              </w:rPr>
            </w:pPr>
            <w:r>
              <w:rPr>
                <w:rFonts w:cs="Arial"/>
                <w:sz w:val="18"/>
                <w:szCs w:val="18"/>
              </w:rPr>
              <w:t>(95% CI)</w:t>
            </w:r>
          </w:p>
        </w:tc>
        <w:tc>
          <w:tcPr>
            <w:tcW w:w="1663" w:type="dxa"/>
            <w:vAlign w:val="center"/>
          </w:tcPr>
          <w:p w14:paraId="4CF8EC91" w14:textId="77777777" w:rsidR="006247B9" w:rsidRPr="00EA3ABB" w:rsidRDefault="006247B9" w:rsidP="006247B9">
            <w:pPr>
              <w:pStyle w:val="NoSpacing"/>
              <w:jc w:val="center"/>
              <w:rPr>
                <w:rFonts w:cs="Arial"/>
                <w:sz w:val="18"/>
                <w:szCs w:val="18"/>
              </w:rPr>
            </w:pPr>
            <w:r w:rsidRPr="00EA3ABB">
              <w:rPr>
                <w:rFonts w:eastAsia="Times New Roman" w:cs="Arial"/>
                <w:sz w:val="18"/>
                <w:szCs w:val="18"/>
              </w:rPr>
              <w:t>−81 (−89, −65)</w:t>
            </w:r>
          </w:p>
        </w:tc>
        <w:tc>
          <w:tcPr>
            <w:tcW w:w="1663" w:type="dxa"/>
            <w:vAlign w:val="center"/>
          </w:tcPr>
          <w:p w14:paraId="04984368" w14:textId="77777777" w:rsidR="006247B9" w:rsidRPr="00EA3ABB" w:rsidRDefault="006247B9" w:rsidP="006247B9">
            <w:pPr>
              <w:pStyle w:val="NoSpacing"/>
              <w:jc w:val="center"/>
              <w:rPr>
                <w:rFonts w:cs="Arial"/>
                <w:sz w:val="18"/>
                <w:szCs w:val="18"/>
              </w:rPr>
            </w:pPr>
            <w:r w:rsidRPr="00EA3ABB">
              <w:rPr>
                <w:rFonts w:eastAsia="Times New Roman" w:cs="Arial"/>
                <w:sz w:val="18"/>
                <w:szCs w:val="18"/>
              </w:rPr>
              <w:t>−55 (−74, −22)</w:t>
            </w:r>
          </w:p>
        </w:tc>
        <w:tc>
          <w:tcPr>
            <w:tcW w:w="1663" w:type="dxa"/>
            <w:vAlign w:val="center"/>
          </w:tcPr>
          <w:p w14:paraId="0BC16A9E" w14:textId="2395CCC3" w:rsidR="006247B9" w:rsidRPr="00EA3ABB" w:rsidRDefault="006247B9" w:rsidP="006247B9">
            <w:pPr>
              <w:pStyle w:val="NoSpacing"/>
              <w:jc w:val="center"/>
              <w:rPr>
                <w:rFonts w:eastAsia="Times New Roman" w:cs="Arial"/>
                <w:sz w:val="18"/>
                <w:szCs w:val="18"/>
              </w:rPr>
            </w:pPr>
            <w:r>
              <w:rPr>
                <w:rFonts w:cs="Arial"/>
                <w:sz w:val="18"/>
                <w:szCs w:val="18"/>
              </w:rPr>
              <w:t>--</w:t>
            </w:r>
          </w:p>
        </w:tc>
      </w:tr>
    </w:tbl>
    <w:p w14:paraId="6B64B44B" w14:textId="702D550D" w:rsidR="00C10C74" w:rsidRDefault="00BA75F6" w:rsidP="00BA75F6">
      <w:pPr>
        <w:ind w:left="360" w:hanging="360"/>
        <w:jc w:val="center"/>
        <w:rPr>
          <w:i/>
          <w:iCs/>
        </w:rPr>
      </w:pPr>
      <w:r w:rsidRPr="00BA75F6">
        <w:rPr>
          <w:i/>
          <w:iCs/>
        </w:rPr>
        <w:t>LS = least square, CI = confidence interval</w:t>
      </w:r>
      <w:r>
        <w:rPr>
          <w:i/>
          <w:iCs/>
        </w:rPr>
        <w:t>, Q4W = every 4 weeks, Q8W = every 8 weeks</w:t>
      </w:r>
    </w:p>
    <w:p w14:paraId="1E5E975C" w14:textId="77777777" w:rsidR="00BA75F6" w:rsidRPr="00BA75F6" w:rsidRDefault="00BA75F6" w:rsidP="00BA75F6">
      <w:pPr>
        <w:ind w:left="360" w:hanging="360"/>
        <w:jc w:val="center"/>
        <w:rPr>
          <w:i/>
          <w:iCs/>
        </w:rPr>
      </w:pPr>
    </w:p>
    <w:p w14:paraId="7F880BF5" w14:textId="0FA94264" w:rsidR="00C10C74" w:rsidRDefault="00C10C74" w:rsidP="00C10C74">
      <w:pPr>
        <w:pStyle w:val="ListParagraph"/>
        <w:numPr>
          <w:ilvl w:val="1"/>
          <w:numId w:val="6"/>
        </w:numPr>
      </w:pPr>
      <w:r>
        <w:t xml:space="preserve">Secondary: </w:t>
      </w:r>
      <w:r w:rsidRPr="48B196EB">
        <w:t xml:space="preserve">Time-Normalized IC HAE Attack Rate (Per Month), Percentage of IC HAE Attack-Free Participants, Time-Normalized Moderate or Severe IC HAE Attack Rate (Per Month), IC HAE Attack Rate Requiring Acute HAE Therapy from week 5 to week 25, and Change From Baseline in Angioedema </w:t>
      </w:r>
      <w:r>
        <w:t>QoL</w:t>
      </w:r>
      <w:r w:rsidRPr="48B196EB">
        <w:t xml:space="preserve"> (AE-QoL) Questionnaire Total Score at week 25</w:t>
      </w:r>
    </w:p>
    <w:p w14:paraId="3892909E" w14:textId="77777777" w:rsidR="00C10C74" w:rsidRDefault="00C10C74" w:rsidP="000D4D6E">
      <w:pPr>
        <w:pStyle w:val="ListParagraph"/>
        <w:numPr>
          <w:ilvl w:val="0"/>
          <w:numId w:val="0"/>
        </w:numPr>
        <w:ind w:left="720"/>
      </w:pPr>
    </w:p>
    <w:tbl>
      <w:tblPr>
        <w:tblStyle w:val="TableGrid"/>
        <w:tblW w:w="0" w:type="auto"/>
        <w:jc w:val="center"/>
        <w:tblLayout w:type="fixed"/>
        <w:tblLook w:val="06A0" w:firstRow="1" w:lastRow="0" w:firstColumn="1" w:lastColumn="0" w:noHBand="1" w:noVBand="1"/>
      </w:tblPr>
      <w:tblGrid>
        <w:gridCol w:w="2388"/>
        <w:gridCol w:w="2017"/>
        <w:gridCol w:w="1800"/>
        <w:gridCol w:w="1890"/>
      </w:tblGrid>
      <w:tr w:rsidR="00D53030" w:rsidRPr="00ED2C4E" w14:paraId="23944F6A" w14:textId="5ED5ECF6" w:rsidTr="00AF205D">
        <w:trPr>
          <w:trHeight w:val="300"/>
          <w:jc w:val="center"/>
        </w:trPr>
        <w:tc>
          <w:tcPr>
            <w:tcW w:w="2388" w:type="dxa"/>
            <w:vAlign w:val="center"/>
          </w:tcPr>
          <w:p w14:paraId="44E0397C" w14:textId="77777777" w:rsidR="00D53030" w:rsidRDefault="00D53030" w:rsidP="00D53030">
            <w:pPr>
              <w:pStyle w:val="NoSpacing"/>
              <w:rPr>
                <w:rFonts w:cs="Arial"/>
                <w:b/>
                <w:bCs/>
                <w:sz w:val="18"/>
                <w:szCs w:val="18"/>
              </w:rPr>
            </w:pPr>
            <w:r w:rsidRPr="00ED2C4E">
              <w:rPr>
                <w:rFonts w:cs="Arial"/>
                <w:b/>
                <w:bCs/>
                <w:sz w:val="18"/>
                <w:szCs w:val="18"/>
              </w:rPr>
              <w:t xml:space="preserve">Efficacy Endpoints: </w:t>
            </w:r>
          </w:p>
          <w:p w14:paraId="428E89FA" w14:textId="77777777" w:rsidR="00D53030" w:rsidRPr="00D53030" w:rsidRDefault="00D53030" w:rsidP="00D53030">
            <w:pPr>
              <w:pStyle w:val="NoSpacing"/>
              <w:rPr>
                <w:rFonts w:cs="Arial"/>
                <w:sz w:val="18"/>
                <w:szCs w:val="18"/>
              </w:rPr>
            </w:pPr>
            <w:r w:rsidRPr="00D53030">
              <w:rPr>
                <w:rFonts w:cs="Arial"/>
                <w:sz w:val="18"/>
                <w:szCs w:val="18"/>
              </w:rPr>
              <w:t xml:space="preserve">LS Mean </w:t>
            </w:r>
          </w:p>
          <w:p w14:paraId="3F371FC9" w14:textId="690A132D" w:rsidR="00D53030" w:rsidRPr="00D53030" w:rsidRDefault="00D53030" w:rsidP="00D53030">
            <w:pPr>
              <w:pStyle w:val="NoSpacing"/>
              <w:rPr>
                <w:rFonts w:cs="Arial"/>
                <w:sz w:val="18"/>
                <w:szCs w:val="18"/>
              </w:rPr>
            </w:pPr>
            <w:r w:rsidRPr="00D53030">
              <w:rPr>
                <w:rFonts w:cs="Arial"/>
                <w:sz w:val="18"/>
                <w:szCs w:val="18"/>
              </w:rPr>
              <w:t>(95% CI)</w:t>
            </w:r>
          </w:p>
          <w:p w14:paraId="40CB2754" w14:textId="77777777" w:rsidR="00D53030" w:rsidRPr="00ED2C4E" w:rsidRDefault="00D53030" w:rsidP="00D53030">
            <w:pPr>
              <w:pStyle w:val="NoSpacing"/>
              <w:rPr>
                <w:rFonts w:cs="Arial"/>
                <w:b/>
                <w:bCs/>
                <w:sz w:val="18"/>
                <w:szCs w:val="18"/>
              </w:rPr>
            </w:pPr>
            <w:r w:rsidRPr="00D53030">
              <w:rPr>
                <w:rFonts w:cs="Arial"/>
                <w:i/>
                <w:iCs/>
                <w:sz w:val="18"/>
                <w:szCs w:val="18"/>
              </w:rPr>
              <w:t>P</w:t>
            </w:r>
            <w:r w:rsidRPr="00D53030">
              <w:rPr>
                <w:rFonts w:cs="Arial"/>
                <w:sz w:val="18"/>
                <w:szCs w:val="18"/>
              </w:rPr>
              <w:t>-value</w:t>
            </w:r>
          </w:p>
        </w:tc>
        <w:tc>
          <w:tcPr>
            <w:tcW w:w="2017" w:type="dxa"/>
            <w:vAlign w:val="center"/>
          </w:tcPr>
          <w:p w14:paraId="7F8F6F56" w14:textId="77777777" w:rsidR="00D53030" w:rsidRPr="00ED2C4E" w:rsidRDefault="00D53030" w:rsidP="00D53030">
            <w:pPr>
              <w:pStyle w:val="NoSpacing"/>
              <w:jc w:val="center"/>
              <w:rPr>
                <w:rFonts w:cs="Arial"/>
                <w:b/>
                <w:bCs/>
                <w:sz w:val="18"/>
                <w:szCs w:val="18"/>
              </w:rPr>
            </w:pPr>
            <w:r w:rsidRPr="00ED2C4E">
              <w:rPr>
                <w:rFonts w:cs="Arial"/>
                <w:b/>
                <w:bCs/>
                <w:sz w:val="18"/>
                <w:szCs w:val="18"/>
              </w:rPr>
              <w:t>Cohort A Q4W</w:t>
            </w:r>
          </w:p>
          <w:p w14:paraId="3CAF2E34" w14:textId="77777777" w:rsidR="00D53030" w:rsidRPr="00ED2C4E" w:rsidRDefault="00D53030" w:rsidP="00D53030">
            <w:pPr>
              <w:pStyle w:val="NoSpacing"/>
              <w:jc w:val="center"/>
              <w:rPr>
                <w:rFonts w:cs="Arial"/>
                <w:b/>
                <w:bCs/>
                <w:sz w:val="18"/>
                <w:szCs w:val="18"/>
              </w:rPr>
            </w:pPr>
            <w:r w:rsidRPr="00ED2C4E">
              <w:rPr>
                <w:rFonts w:cs="Arial"/>
                <w:b/>
                <w:bCs/>
                <w:sz w:val="18"/>
                <w:szCs w:val="18"/>
              </w:rPr>
              <w:t>(n=45)</w:t>
            </w:r>
          </w:p>
        </w:tc>
        <w:tc>
          <w:tcPr>
            <w:tcW w:w="1800" w:type="dxa"/>
            <w:vAlign w:val="center"/>
          </w:tcPr>
          <w:p w14:paraId="278C5363" w14:textId="77777777" w:rsidR="00D53030" w:rsidRPr="00ED2C4E" w:rsidRDefault="00D53030" w:rsidP="00D53030">
            <w:pPr>
              <w:pStyle w:val="NoSpacing"/>
              <w:jc w:val="center"/>
              <w:rPr>
                <w:rFonts w:cs="Arial"/>
                <w:b/>
                <w:bCs/>
                <w:sz w:val="18"/>
                <w:szCs w:val="18"/>
              </w:rPr>
            </w:pPr>
            <w:r w:rsidRPr="00ED2C4E">
              <w:rPr>
                <w:rFonts w:cs="Arial"/>
                <w:b/>
                <w:bCs/>
                <w:sz w:val="18"/>
                <w:szCs w:val="18"/>
              </w:rPr>
              <w:t>Cohort B Q8W</w:t>
            </w:r>
          </w:p>
          <w:p w14:paraId="4D67D647" w14:textId="77777777" w:rsidR="00D53030" w:rsidRPr="00ED2C4E" w:rsidRDefault="00D53030" w:rsidP="00D53030">
            <w:pPr>
              <w:pStyle w:val="NoSpacing"/>
              <w:jc w:val="center"/>
              <w:rPr>
                <w:rFonts w:cs="Arial"/>
                <w:b/>
                <w:bCs/>
                <w:sz w:val="18"/>
                <w:szCs w:val="18"/>
              </w:rPr>
            </w:pPr>
            <w:r w:rsidRPr="00ED2C4E">
              <w:rPr>
                <w:rFonts w:cs="Arial"/>
                <w:b/>
                <w:bCs/>
                <w:sz w:val="18"/>
                <w:szCs w:val="18"/>
              </w:rPr>
              <w:t>(n=23)</w:t>
            </w:r>
          </w:p>
        </w:tc>
        <w:tc>
          <w:tcPr>
            <w:tcW w:w="1890" w:type="dxa"/>
            <w:vAlign w:val="center"/>
          </w:tcPr>
          <w:p w14:paraId="35120483" w14:textId="77777777" w:rsidR="00D53030" w:rsidRPr="00ED2C4E" w:rsidRDefault="00D53030" w:rsidP="00D53030">
            <w:pPr>
              <w:pStyle w:val="NoSpacing"/>
              <w:jc w:val="center"/>
              <w:rPr>
                <w:rFonts w:cs="Arial"/>
                <w:b/>
                <w:bCs/>
                <w:sz w:val="18"/>
                <w:szCs w:val="18"/>
              </w:rPr>
            </w:pPr>
            <w:r w:rsidRPr="00ED2C4E">
              <w:rPr>
                <w:rFonts w:cs="Arial"/>
                <w:b/>
                <w:bCs/>
                <w:sz w:val="18"/>
                <w:szCs w:val="18"/>
              </w:rPr>
              <w:t>Placebo</w:t>
            </w:r>
          </w:p>
          <w:p w14:paraId="6C3A5F6B" w14:textId="0F43D5CF" w:rsidR="00D53030" w:rsidRPr="00ED2C4E" w:rsidRDefault="00D53030" w:rsidP="00D53030">
            <w:pPr>
              <w:pStyle w:val="NoSpacing"/>
              <w:jc w:val="center"/>
              <w:rPr>
                <w:rFonts w:cs="Arial"/>
                <w:b/>
                <w:bCs/>
                <w:sz w:val="18"/>
                <w:szCs w:val="18"/>
              </w:rPr>
            </w:pPr>
            <w:r w:rsidRPr="00ED2C4E">
              <w:rPr>
                <w:rFonts w:cs="Arial"/>
                <w:b/>
                <w:bCs/>
                <w:sz w:val="18"/>
                <w:szCs w:val="18"/>
              </w:rPr>
              <w:t>(n=22)</w:t>
            </w:r>
          </w:p>
        </w:tc>
      </w:tr>
      <w:tr w:rsidR="00D53030" w:rsidRPr="00EA3ABB" w14:paraId="3485EC25" w14:textId="707A474D" w:rsidTr="00AF205D">
        <w:trPr>
          <w:trHeight w:val="300"/>
          <w:jc w:val="center"/>
        </w:trPr>
        <w:tc>
          <w:tcPr>
            <w:tcW w:w="2388" w:type="dxa"/>
            <w:vAlign w:val="center"/>
          </w:tcPr>
          <w:p w14:paraId="17F87DCE" w14:textId="11BC5AC3" w:rsidR="00D53030" w:rsidRPr="00EA3ABB" w:rsidRDefault="00D53030" w:rsidP="00D53030">
            <w:pPr>
              <w:pStyle w:val="NoSpacing"/>
              <w:rPr>
                <w:rFonts w:cs="Arial"/>
                <w:sz w:val="18"/>
                <w:szCs w:val="18"/>
              </w:rPr>
            </w:pPr>
            <w:r w:rsidRPr="00EA3ABB">
              <w:rPr>
                <w:rFonts w:cs="Arial"/>
                <w:sz w:val="18"/>
                <w:szCs w:val="18"/>
              </w:rPr>
              <w:t>IC HAE attack rate per month</w:t>
            </w:r>
          </w:p>
        </w:tc>
        <w:tc>
          <w:tcPr>
            <w:tcW w:w="2017" w:type="dxa"/>
            <w:vAlign w:val="center"/>
          </w:tcPr>
          <w:p w14:paraId="07DD8A1B" w14:textId="77777777" w:rsidR="00D53030" w:rsidRDefault="00D53030" w:rsidP="00D53030">
            <w:pPr>
              <w:pStyle w:val="NoSpacing"/>
              <w:jc w:val="center"/>
              <w:rPr>
                <w:rFonts w:eastAsia="Times New Roman" w:cs="Arial"/>
                <w:sz w:val="18"/>
                <w:szCs w:val="18"/>
              </w:rPr>
            </w:pPr>
            <w:r w:rsidRPr="00EA3ABB">
              <w:rPr>
                <w:rFonts w:eastAsia="Times New Roman" w:cs="Arial"/>
                <w:sz w:val="18"/>
                <w:szCs w:val="18"/>
              </w:rPr>
              <w:t>0.30</w:t>
            </w:r>
          </w:p>
          <w:p w14:paraId="7B1B9C4F" w14:textId="378BC3A6" w:rsidR="00D53030" w:rsidRPr="00EA3ABB" w:rsidRDefault="00D53030" w:rsidP="00D53030">
            <w:pPr>
              <w:pStyle w:val="NoSpacing"/>
              <w:jc w:val="center"/>
              <w:rPr>
                <w:rFonts w:cs="Arial"/>
                <w:sz w:val="18"/>
                <w:szCs w:val="18"/>
              </w:rPr>
            </w:pPr>
            <w:r w:rsidRPr="00EA3ABB">
              <w:rPr>
                <w:rFonts w:eastAsia="Times New Roman" w:cs="Arial"/>
                <w:sz w:val="18"/>
                <w:szCs w:val="18"/>
              </w:rPr>
              <w:t>(0.151 to 0.581)</w:t>
            </w:r>
            <w:r w:rsidRPr="00EA3ABB">
              <w:rPr>
                <w:rFonts w:cs="Arial"/>
                <w:sz w:val="18"/>
                <w:szCs w:val="18"/>
              </w:rPr>
              <w:br/>
            </w:r>
            <w:r w:rsidRPr="00EA3ABB">
              <w:rPr>
                <w:rFonts w:eastAsia="Times New Roman" w:cs="Arial"/>
                <w:sz w:val="18"/>
                <w:szCs w:val="18"/>
              </w:rPr>
              <w:t>p&lt;0.001</w:t>
            </w:r>
          </w:p>
        </w:tc>
        <w:tc>
          <w:tcPr>
            <w:tcW w:w="1800" w:type="dxa"/>
            <w:vAlign w:val="center"/>
          </w:tcPr>
          <w:p w14:paraId="1E6BBE6B" w14:textId="77777777" w:rsidR="00D53030" w:rsidRDefault="00D53030" w:rsidP="00D53030">
            <w:pPr>
              <w:pStyle w:val="NoSpacing"/>
              <w:jc w:val="center"/>
              <w:rPr>
                <w:rFonts w:eastAsia="Times New Roman" w:cs="Arial"/>
                <w:sz w:val="18"/>
                <w:szCs w:val="18"/>
              </w:rPr>
            </w:pPr>
            <w:r w:rsidRPr="00EA3ABB">
              <w:rPr>
                <w:rFonts w:eastAsia="Times New Roman" w:cs="Arial"/>
                <w:sz w:val="18"/>
                <w:szCs w:val="18"/>
              </w:rPr>
              <w:t>0.90</w:t>
            </w:r>
          </w:p>
          <w:p w14:paraId="6D487B7B" w14:textId="5907E1BC" w:rsidR="00D53030" w:rsidRPr="00EA3ABB" w:rsidRDefault="00D53030" w:rsidP="00D53030">
            <w:pPr>
              <w:pStyle w:val="NoSpacing"/>
              <w:jc w:val="center"/>
              <w:rPr>
                <w:rFonts w:cs="Arial"/>
                <w:sz w:val="18"/>
                <w:szCs w:val="18"/>
              </w:rPr>
            </w:pPr>
            <w:r w:rsidRPr="00EA3ABB">
              <w:rPr>
                <w:rFonts w:eastAsia="Times New Roman" w:cs="Arial"/>
                <w:sz w:val="18"/>
                <w:szCs w:val="18"/>
              </w:rPr>
              <w:t>(0.529 to 1.520)</w:t>
            </w:r>
          </w:p>
          <w:p w14:paraId="10B61665" w14:textId="77777777" w:rsidR="00D53030" w:rsidRPr="00EA3ABB" w:rsidRDefault="00D53030" w:rsidP="00D53030">
            <w:pPr>
              <w:pStyle w:val="NoSpacing"/>
              <w:jc w:val="center"/>
              <w:rPr>
                <w:rFonts w:cs="Arial"/>
                <w:sz w:val="18"/>
                <w:szCs w:val="18"/>
              </w:rPr>
            </w:pPr>
            <w:r w:rsidRPr="00EA3ABB">
              <w:rPr>
                <w:rFonts w:eastAsia="Times New Roman" w:cs="Arial"/>
                <w:sz w:val="18"/>
                <w:szCs w:val="18"/>
              </w:rPr>
              <w:t>p=0.004</w:t>
            </w:r>
          </w:p>
        </w:tc>
        <w:tc>
          <w:tcPr>
            <w:tcW w:w="1890" w:type="dxa"/>
            <w:vAlign w:val="center"/>
          </w:tcPr>
          <w:p w14:paraId="386E0CDD" w14:textId="77777777" w:rsidR="00D53030" w:rsidRDefault="00D53030" w:rsidP="00D53030">
            <w:pPr>
              <w:pStyle w:val="NoSpacing"/>
              <w:jc w:val="center"/>
              <w:rPr>
                <w:rFonts w:cs="Arial"/>
                <w:sz w:val="18"/>
                <w:szCs w:val="18"/>
              </w:rPr>
            </w:pPr>
            <w:r w:rsidRPr="00EA3ABB">
              <w:rPr>
                <w:rFonts w:cs="Arial"/>
                <w:sz w:val="18"/>
                <w:szCs w:val="18"/>
              </w:rPr>
              <w:t>2.25</w:t>
            </w:r>
          </w:p>
          <w:p w14:paraId="57E2E213" w14:textId="70F049A2" w:rsidR="00D53030" w:rsidRPr="00EA3ABB" w:rsidRDefault="00D53030" w:rsidP="00D53030">
            <w:pPr>
              <w:pStyle w:val="NoSpacing"/>
              <w:jc w:val="center"/>
              <w:rPr>
                <w:rFonts w:eastAsia="Times New Roman" w:cs="Arial"/>
                <w:sz w:val="18"/>
                <w:szCs w:val="18"/>
              </w:rPr>
            </w:pPr>
            <w:r w:rsidRPr="00EA3ABB">
              <w:rPr>
                <w:rFonts w:cs="Arial"/>
                <w:sz w:val="18"/>
                <w:szCs w:val="18"/>
              </w:rPr>
              <w:t>(1.594 to 3.183)</w:t>
            </w:r>
          </w:p>
        </w:tc>
      </w:tr>
      <w:tr w:rsidR="00D53030" w:rsidRPr="00EA3ABB" w14:paraId="2FC26B38" w14:textId="24A7814C" w:rsidTr="00AF205D">
        <w:trPr>
          <w:trHeight w:val="300"/>
          <w:jc w:val="center"/>
        </w:trPr>
        <w:tc>
          <w:tcPr>
            <w:tcW w:w="2388" w:type="dxa"/>
            <w:vAlign w:val="center"/>
          </w:tcPr>
          <w:p w14:paraId="10C11DE9" w14:textId="01F298C6" w:rsidR="00D53030" w:rsidRPr="00EA3ABB" w:rsidRDefault="00D53030" w:rsidP="00D53030">
            <w:pPr>
              <w:pStyle w:val="NoSpacing"/>
              <w:rPr>
                <w:rFonts w:cs="Arial"/>
                <w:sz w:val="18"/>
                <w:szCs w:val="18"/>
              </w:rPr>
            </w:pPr>
            <w:r w:rsidRPr="00EA3ABB">
              <w:rPr>
                <w:rFonts w:cs="Arial"/>
                <w:sz w:val="18"/>
                <w:szCs w:val="18"/>
              </w:rPr>
              <w:t>% IC HAE attack-free participants</w:t>
            </w:r>
          </w:p>
        </w:tc>
        <w:tc>
          <w:tcPr>
            <w:tcW w:w="2017" w:type="dxa"/>
            <w:vAlign w:val="center"/>
          </w:tcPr>
          <w:p w14:paraId="6D613953" w14:textId="4F490B90" w:rsidR="00D53030" w:rsidRPr="00EA3ABB" w:rsidRDefault="00D53030" w:rsidP="00D53030">
            <w:pPr>
              <w:pStyle w:val="NoSpacing"/>
              <w:jc w:val="center"/>
              <w:rPr>
                <w:rFonts w:cs="Arial"/>
                <w:sz w:val="18"/>
                <w:szCs w:val="18"/>
              </w:rPr>
            </w:pPr>
            <w:r w:rsidRPr="00EA3ABB">
              <w:rPr>
                <w:rFonts w:cs="Arial"/>
                <w:sz w:val="18"/>
                <w:szCs w:val="18"/>
              </w:rPr>
              <w:t>53.3%</w:t>
            </w:r>
          </w:p>
          <w:p w14:paraId="45E108E2" w14:textId="77777777" w:rsidR="00D53030" w:rsidRPr="00EA3ABB" w:rsidRDefault="00D53030" w:rsidP="00D53030">
            <w:pPr>
              <w:pStyle w:val="NoSpacing"/>
              <w:jc w:val="center"/>
              <w:rPr>
                <w:rFonts w:cs="Arial"/>
                <w:sz w:val="18"/>
                <w:szCs w:val="18"/>
              </w:rPr>
            </w:pPr>
            <w:r w:rsidRPr="00EA3ABB">
              <w:rPr>
                <w:rFonts w:cs="Arial"/>
                <w:sz w:val="18"/>
                <w:szCs w:val="18"/>
              </w:rPr>
              <w:t>p=0.003</w:t>
            </w:r>
          </w:p>
        </w:tc>
        <w:tc>
          <w:tcPr>
            <w:tcW w:w="1800" w:type="dxa"/>
            <w:vAlign w:val="center"/>
          </w:tcPr>
          <w:p w14:paraId="651E96F2" w14:textId="404D832E" w:rsidR="00D53030" w:rsidRPr="00EA3ABB" w:rsidRDefault="00D53030" w:rsidP="00D53030">
            <w:pPr>
              <w:pStyle w:val="NoSpacing"/>
              <w:jc w:val="center"/>
              <w:rPr>
                <w:rFonts w:cs="Arial"/>
                <w:sz w:val="18"/>
                <w:szCs w:val="18"/>
              </w:rPr>
            </w:pPr>
            <w:r w:rsidRPr="00EA3ABB">
              <w:rPr>
                <w:rFonts w:cs="Arial"/>
                <w:sz w:val="18"/>
                <w:szCs w:val="18"/>
              </w:rPr>
              <w:t>34.8%</w:t>
            </w:r>
          </w:p>
          <w:p w14:paraId="6191C1BD" w14:textId="77777777" w:rsidR="00D53030" w:rsidRPr="00EA3ABB" w:rsidRDefault="00D53030" w:rsidP="00D53030">
            <w:pPr>
              <w:pStyle w:val="NoSpacing"/>
              <w:jc w:val="center"/>
              <w:rPr>
                <w:rFonts w:cs="Arial"/>
                <w:sz w:val="18"/>
                <w:szCs w:val="18"/>
              </w:rPr>
            </w:pPr>
            <w:r w:rsidRPr="00EA3ABB">
              <w:rPr>
                <w:rFonts w:cs="Arial"/>
                <w:sz w:val="18"/>
                <w:szCs w:val="18"/>
              </w:rPr>
              <w:t>p=0.240</w:t>
            </w:r>
          </w:p>
        </w:tc>
        <w:tc>
          <w:tcPr>
            <w:tcW w:w="1890" w:type="dxa"/>
            <w:vAlign w:val="center"/>
          </w:tcPr>
          <w:p w14:paraId="15A58A1E" w14:textId="4D45B367" w:rsidR="00D53030" w:rsidRPr="00EA3ABB" w:rsidRDefault="00D53030" w:rsidP="00D53030">
            <w:pPr>
              <w:pStyle w:val="NoSpacing"/>
              <w:jc w:val="center"/>
              <w:rPr>
                <w:rFonts w:cs="Arial"/>
                <w:sz w:val="18"/>
                <w:szCs w:val="18"/>
              </w:rPr>
            </w:pPr>
            <w:r w:rsidRPr="00EA3ABB">
              <w:rPr>
                <w:rFonts w:cs="Arial"/>
                <w:sz w:val="18"/>
                <w:szCs w:val="18"/>
              </w:rPr>
              <w:t>9.1%</w:t>
            </w:r>
          </w:p>
        </w:tc>
      </w:tr>
      <w:tr w:rsidR="00D53030" w:rsidRPr="00EA3ABB" w14:paraId="5FFBB6BF" w14:textId="476328C9" w:rsidTr="00AF205D">
        <w:trPr>
          <w:trHeight w:val="300"/>
          <w:jc w:val="center"/>
        </w:trPr>
        <w:tc>
          <w:tcPr>
            <w:tcW w:w="2388" w:type="dxa"/>
            <w:vAlign w:val="center"/>
          </w:tcPr>
          <w:p w14:paraId="50980AF9" w14:textId="77777777" w:rsidR="00D53030" w:rsidRPr="00EA3ABB" w:rsidRDefault="00D53030" w:rsidP="00D53030">
            <w:pPr>
              <w:pStyle w:val="NoSpacing"/>
              <w:rPr>
                <w:rFonts w:cs="Arial"/>
                <w:sz w:val="18"/>
                <w:szCs w:val="18"/>
              </w:rPr>
            </w:pPr>
            <w:r w:rsidRPr="00EA3ABB">
              <w:rPr>
                <w:rFonts w:cs="Arial"/>
                <w:sz w:val="18"/>
                <w:szCs w:val="18"/>
              </w:rPr>
              <w:t>Time-Normalized Moderate or Severe IC HAE Attack Rate</w:t>
            </w:r>
          </w:p>
        </w:tc>
        <w:tc>
          <w:tcPr>
            <w:tcW w:w="2017" w:type="dxa"/>
            <w:vAlign w:val="center"/>
          </w:tcPr>
          <w:p w14:paraId="6E1CB306" w14:textId="77777777" w:rsidR="00D53030" w:rsidRDefault="00D53030" w:rsidP="00D53030">
            <w:pPr>
              <w:pStyle w:val="NoSpacing"/>
              <w:jc w:val="center"/>
              <w:rPr>
                <w:rFonts w:eastAsia="Times New Roman" w:cs="Arial"/>
                <w:sz w:val="18"/>
                <w:szCs w:val="18"/>
              </w:rPr>
            </w:pPr>
            <w:r w:rsidRPr="00EA3ABB">
              <w:rPr>
                <w:rFonts w:eastAsia="Times New Roman" w:cs="Arial"/>
                <w:sz w:val="18"/>
                <w:szCs w:val="18"/>
              </w:rPr>
              <w:t>0.12</w:t>
            </w:r>
          </w:p>
          <w:p w14:paraId="6F09A658" w14:textId="48CCA682" w:rsidR="00D53030" w:rsidRPr="00EA3ABB" w:rsidRDefault="00D53030" w:rsidP="00D53030">
            <w:pPr>
              <w:pStyle w:val="NoSpacing"/>
              <w:jc w:val="center"/>
              <w:rPr>
                <w:rFonts w:cs="Arial"/>
                <w:sz w:val="18"/>
                <w:szCs w:val="18"/>
              </w:rPr>
            </w:pPr>
            <w:r w:rsidRPr="00EA3ABB">
              <w:rPr>
                <w:rFonts w:eastAsia="Times New Roman" w:cs="Arial"/>
                <w:sz w:val="18"/>
                <w:szCs w:val="18"/>
              </w:rPr>
              <w:t>(0.044 to 0.351)</w:t>
            </w:r>
          </w:p>
          <w:p w14:paraId="603F6465" w14:textId="77777777" w:rsidR="00D53030" w:rsidRPr="00EA3ABB" w:rsidRDefault="00D53030" w:rsidP="00D53030">
            <w:pPr>
              <w:pStyle w:val="NoSpacing"/>
              <w:jc w:val="center"/>
              <w:rPr>
                <w:rFonts w:cs="Arial"/>
                <w:sz w:val="18"/>
                <w:szCs w:val="18"/>
              </w:rPr>
            </w:pPr>
            <w:r w:rsidRPr="00EA3ABB">
              <w:rPr>
                <w:rFonts w:eastAsia="Times New Roman" w:cs="Arial"/>
                <w:sz w:val="18"/>
                <w:szCs w:val="18"/>
              </w:rPr>
              <w:t>p&lt;0.001</w:t>
            </w:r>
          </w:p>
        </w:tc>
        <w:tc>
          <w:tcPr>
            <w:tcW w:w="1800" w:type="dxa"/>
            <w:vAlign w:val="center"/>
          </w:tcPr>
          <w:p w14:paraId="368CFDF7" w14:textId="77777777" w:rsidR="00D53030" w:rsidRDefault="00D53030" w:rsidP="00D53030">
            <w:pPr>
              <w:pStyle w:val="NoSpacing"/>
              <w:jc w:val="center"/>
              <w:rPr>
                <w:rFonts w:eastAsia="Times New Roman" w:cs="Arial"/>
                <w:sz w:val="18"/>
                <w:szCs w:val="18"/>
              </w:rPr>
            </w:pPr>
            <w:r w:rsidRPr="00EA3ABB">
              <w:rPr>
                <w:rFonts w:eastAsia="Times New Roman" w:cs="Arial"/>
                <w:sz w:val="18"/>
                <w:szCs w:val="18"/>
              </w:rPr>
              <w:t>0.68</w:t>
            </w:r>
          </w:p>
          <w:p w14:paraId="7AFB5C37" w14:textId="63D67D2C" w:rsidR="00D53030" w:rsidRPr="005D4789" w:rsidRDefault="00D53030" w:rsidP="00D53030">
            <w:pPr>
              <w:pStyle w:val="NoSpacing"/>
              <w:jc w:val="center"/>
              <w:rPr>
                <w:rFonts w:eastAsia="Times New Roman" w:cs="Arial"/>
                <w:sz w:val="18"/>
                <w:szCs w:val="18"/>
              </w:rPr>
            </w:pPr>
            <w:r w:rsidRPr="00EA3ABB">
              <w:rPr>
                <w:rFonts w:eastAsia="Times New Roman" w:cs="Arial"/>
                <w:sz w:val="18"/>
                <w:szCs w:val="18"/>
              </w:rPr>
              <w:t>(0.372 to 1.229)</w:t>
            </w:r>
          </w:p>
          <w:p w14:paraId="180DAEE8" w14:textId="77777777" w:rsidR="00D53030" w:rsidRPr="00EA3ABB" w:rsidRDefault="00D53030" w:rsidP="00D53030">
            <w:pPr>
              <w:pStyle w:val="NoSpacing"/>
              <w:jc w:val="center"/>
              <w:rPr>
                <w:rFonts w:cs="Arial"/>
                <w:sz w:val="18"/>
                <w:szCs w:val="18"/>
              </w:rPr>
            </w:pPr>
            <w:r w:rsidRPr="00EA3ABB">
              <w:rPr>
                <w:rFonts w:eastAsia="Times New Roman" w:cs="Arial"/>
                <w:sz w:val="18"/>
                <w:szCs w:val="18"/>
              </w:rPr>
              <w:t>p=0.173</w:t>
            </w:r>
          </w:p>
        </w:tc>
        <w:tc>
          <w:tcPr>
            <w:tcW w:w="1890" w:type="dxa"/>
            <w:vAlign w:val="center"/>
          </w:tcPr>
          <w:p w14:paraId="06005176" w14:textId="77777777" w:rsidR="00D53030" w:rsidRDefault="00D53030" w:rsidP="00D53030">
            <w:pPr>
              <w:pStyle w:val="NoSpacing"/>
              <w:jc w:val="center"/>
              <w:rPr>
                <w:rFonts w:eastAsia="Times New Roman" w:cs="Arial"/>
                <w:sz w:val="18"/>
                <w:szCs w:val="18"/>
              </w:rPr>
            </w:pPr>
            <w:r w:rsidRPr="00EA3ABB">
              <w:rPr>
                <w:rFonts w:eastAsia="Times New Roman" w:cs="Arial"/>
                <w:sz w:val="18"/>
                <w:szCs w:val="18"/>
              </w:rPr>
              <w:t>1.15</w:t>
            </w:r>
          </w:p>
          <w:p w14:paraId="68873A94" w14:textId="5541C394" w:rsidR="00D53030" w:rsidRPr="00EA3ABB" w:rsidRDefault="00D53030" w:rsidP="00D53030">
            <w:pPr>
              <w:pStyle w:val="NoSpacing"/>
              <w:jc w:val="center"/>
              <w:rPr>
                <w:rFonts w:eastAsia="Times New Roman" w:cs="Arial"/>
                <w:sz w:val="18"/>
                <w:szCs w:val="18"/>
              </w:rPr>
            </w:pPr>
            <w:r w:rsidRPr="00EA3ABB">
              <w:rPr>
                <w:rFonts w:eastAsia="Times New Roman" w:cs="Arial"/>
                <w:sz w:val="18"/>
                <w:szCs w:val="18"/>
              </w:rPr>
              <w:t>(0.718 to 1.831)</w:t>
            </w:r>
          </w:p>
        </w:tc>
      </w:tr>
      <w:tr w:rsidR="00D53030" w:rsidRPr="00EA3ABB" w14:paraId="068D5B19" w14:textId="3D88C2E8" w:rsidTr="00AF205D">
        <w:trPr>
          <w:trHeight w:val="300"/>
          <w:jc w:val="center"/>
        </w:trPr>
        <w:tc>
          <w:tcPr>
            <w:tcW w:w="2388" w:type="dxa"/>
            <w:vAlign w:val="center"/>
          </w:tcPr>
          <w:p w14:paraId="569EADA1" w14:textId="77777777" w:rsidR="00D53030" w:rsidRPr="00EA3ABB" w:rsidRDefault="00D53030" w:rsidP="00D53030">
            <w:pPr>
              <w:pStyle w:val="NoSpacing"/>
              <w:rPr>
                <w:rFonts w:cs="Arial"/>
                <w:sz w:val="18"/>
                <w:szCs w:val="18"/>
              </w:rPr>
            </w:pPr>
            <w:r w:rsidRPr="00EA3ABB">
              <w:rPr>
                <w:rFonts w:cs="Arial"/>
                <w:sz w:val="18"/>
                <w:szCs w:val="18"/>
              </w:rPr>
              <w:t>IC HAE Attack Rate Requiring Acute HAE Therapy</w:t>
            </w:r>
          </w:p>
        </w:tc>
        <w:tc>
          <w:tcPr>
            <w:tcW w:w="2017" w:type="dxa"/>
            <w:vAlign w:val="center"/>
          </w:tcPr>
          <w:p w14:paraId="57CE6A4E" w14:textId="77777777" w:rsidR="00D53030" w:rsidRDefault="00D53030" w:rsidP="00D53030">
            <w:pPr>
              <w:pStyle w:val="NoSpacing"/>
              <w:jc w:val="center"/>
              <w:rPr>
                <w:rFonts w:eastAsia="Times New Roman" w:cs="Arial"/>
                <w:sz w:val="18"/>
                <w:szCs w:val="18"/>
              </w:rPr>
            </w:pPr>
            <w:r w:rsidRPr="00EA3ABB">
              <w:rPr>
                <w:rFonts w:eastAsia="Times New Roman" w:cs="Arial"/>
                <w:sz w:val="18"/>
                <w:szCs w:val="18"/>
              </w:rPr>
              <w:t>0.15</w:t>
            </w:r>
          </w:p>
          <w:p w14:paraId="3082C8B9" w14:textId="033D0AA7" w:rsidR="00D53030" w:rsidRPr="00EA3ABB" w:rsidRDefault="00D53030" w:rsidP="00D53030">
            <w:pPr>
              <w:pStyle w:val="NoSpacing"/>
              <w:jc w:val="center"/>
              <w:rPr>
                <w:rFonts w:cs="Arial"/>
                <w:sz w:val="18"/>
                <w:szCs w:val="18"/>
              </w:rPr>
            </w:pPr>
            <w:r w:rsidRPr="00EA3ABB">
              <w:rPr>
                <w:rFonts w:eastAsia="Times New Roman" w:cs="Arial"/>
                <w:sz w:val="18"/>
                <w:szCs w:val="18"/>
              </w:rPr>
              <w:t>(0.057 to 0.391)</w:t>
            </w:r>
          </w:p>
          <w:p w14:paraId="245B2C5D" w14:textId="77777777" w:rsidR="00D53030" w:rsidRPr="00EA3ABB" w:rsidRDefault="00D53030" w:rsidP="00D53030">
            <w:pPr>
              <w:pStyle w:val="NoSpacing"/>
              <w:jc w:val="center"/>
              <w:rPr>
                <w:rFonts w:cs="Arial"/>
                <w:sz w:val="18"/>
                <w:szCs w:val="18"/>
              </w:rPr>
            </w:pPr>
            <w:r w:rsidRPr="00EA3ABB">
              <w:rPr>
                <w:rFonts w:eastAsia="Times New Roman" w:cs="Arial"/>
                <w:sz w:val="18"/>
                <w:szCs w:val="18"/>
              </w:rPr>
              <w:t>p&lt;0.001</w:t>
            </w:r>
          </w:p>
        </w:tc>
        <w:tc>
          <w:tcPr>
            <w:tcW w:w="1800" w:type="dxa"/>
            <w:vAlign w:val="center"/>
          </w:tcPr>
          <w:p w14:paraId="11672244" w14:textId="77777777" w:rsidR="00D53030" w:rsidRDefault="00D53030" w:rsidP="00D53030">
            <w:pPr>
              <w:pStyle w:val="NoSpacing"/>
              <w:jc w:val="center"/>
              <w:rPr>
                <w:rFonts w:eastAsia="Times New Roman" w:cs="Arial"/>
                <w:sz w:val="18"/>
                <w:szCs w:val="18"/>
              </w:rPr>
            </w:pPr>
            <w:r w:rsidRPr="00EA3ABB">
              <w:rPr>
                <w:rFonts w:eastAsia="Times New Roman" w:cs="Arial"/>
                <w:sz w:val="18"/>
                <w:szCs w:val="18"/>
              </w:rPr>
              <w:t>0.59</w:t>
            </w:r>
          </w:p>
          <w:p w14:paraId="58C1A661" w14:textId="5EE706E6" w:rsidR="00D53030" w:rsidRPr="00EA3ABB" w:rsidRDefault="00D53030" w:rsidP="00D53030">
            <w:pPr>
              <w:pStyle w:val="NoSpacing"/>
              <w:jc w:val="center"/>
              <w:rPr>
                <w:rFonts w:cs="Arial"/>
                <w:sz w:val="18"/>
                <w:szCs w:val="18"/>
              </w:rPr>
            </w:pPr>
            <w:r w:rsidRPr="00EA3ABB">
              <w:rPr>
                <w:rFonts w:eastAsia="Times New Roman" w:cs="Arial"/>
                <w:sz w:val="18"/>
                <w:szCs w:val="18"/>
              </w:rPr>
              <w:t>(0.308 to 1.146)</w:t>
            </w:r>
          </w:p>
          <w:p w14:paraId="1818B2BA" w14:textId="77777777" w:rsidR="00D53030" w:rsidRPr="00EA3ABB" w:rsidRDefault="00D53030" w:rsidP="00D53030">
            <w:pPr>
              <w:pStyle w:val="NoSpacing"/>
              <w:jc w:val="center"/>
              <w:rPr>
                <w:rFonts w:cs="Arial"/>
                <w:sz w:val="18"/>
                <w:szCs w:val="18"/>
              </w:rPr>
            </w:pPr>
            <w:r w:rsidRPr="00EA3ABB">
              <w:rPr>
                <w:rFonts w:eastAsia="Roboto" w:cs="Arial"/>
                <w:color w:val="1B1B1B"/>
                <w:sz w:val="18"/>
                <w:szCs w:val="18"/>
              </w:rPr>
              <w:t>p=0.004</w:t>
            </w:r>
          </w:p>
        </w:tc>
        <w:tc>
          <w:tcPr>
            <w:tcW w:w="1890" w:type="dxa"/>
            <w:vAlign w:val="center"/>
          </w:tcPr>
          <w:p w14:paraId="56F8E8F2" w14:textId="77777777" w:rsidR="00D53030" w:rsidRDefault="00D53030" w:rsidP="00D53030">
            <w:pPr>
              <w:pStyle w:val="NoSpacing"/>
              <w:jc w:val="center"/>
              <w:rPr>
                <w:rFonts w:eastAsia="Times New Roman" w:cs="Arial"/>
                <w:sz w:val="18"/>
                <w:szCs w:val="18"/>
              </w:rPr>
            </w:pPr>
            <w:r w:rsidRPr="00EA3ABB">
              <w:rPr>
                <w:rFonts w:eastAsia="Times New Roman" w:cs="Arial"/>
                <w:sz w:val="18"/>
                <w:szCs w:val="18"/>
              </w:rPr>
              <w:t>1.80</w:t>
            </w:r>
          </w:p>
          <w:p w14:paraId="3C5BC1E5" w14:textId="260D6023" w:rsidR="00D53030" w:rsidRPr="00EA3ABB" w:rsidRDefault="00D53030" w:rsidP="00D53030">
            <w:pPr>
              <w:pStyle w:val="NoSpacing"/>
              <w:jc w:val="center"/>
              <w:rPr>
                <w:rFonts w:eastAsia="Times New Roman" w:cs="Arial"/>
                <w:sz w:val="18"/>
                <w:szCs w:val="18"/>
              </w:rPr>
            </w:pPr>
            <w:r w:rsidRPr="00EA3ABB">
              <w:rPr>
                <w:rFonts w:eastAsia="Times New Roman" w:cs="Arial"/>
                <w:sz w:val="18"/>
                <w:szCs w:val="18"/>
              </w:rPr>
              <w:t>(1.232 to 2.616)</w:t>
            </w:r>
          </w:p>
        </w:tc>
      </w:tr>
      <w:tr w:rsidR="00D53030" w:rsidRPr="00EA3ABB" w14:paraId="2A8D5CD6" w14:textId="4A52240A" w:rsidTr="00AF205D">
        <w:trPr>
          <w:trHeight w:val="300"/>
          <w:jc w:val="center"/>
        </w:trPr>
        <w:tc>
          <w:tcPr>
            <w:tcW w:w="2388" w:type="dxa"/>
            <w:vAlign w:val="center"/>
          </w:tcPr>
          <w:p w14:paraId="77EC732B" w14:textId="5F2D9912" w:rsidR="00D53030" w:rsidRPr="00EA3ABB" w:rsidRDefault="00D53030" w:rsidP="00D53030">
            <w:pPr>
              <w:pStyle w:val="NoSpacing"/>
              <w:rPr>
                <w:rFonts w:cs="Arial"/>
                <w:sz w:val="18"/>
                <w:szCs w:val="18"/>
              </w:rPr>
            </w:pPr>
            <w:r w:rsidRPr="00EA3ABB">
              <w:rPr>
                <w:rFonts w:cs="Arial"/>
                <w:sz w:val="18"/>
                <w:szCs w:val="18"/>
              </w:rPr>
              <w:t>Change From Baseline in AE-QoL</w:t>
            </w:r>
            <w:r w:rsidR="00025080">
              <w:rPr>
                <w:rFonts w:cs="Arial"/>
                <w:sz w:val="18"/>
                <w:szCs w:val="18"/>
              </w:rPr>
              <w:t xml:space="preserve"> </w:t>
            </w:r>
            <w:r w:rsidRPr="00EA3ABB">
              <w:rPr>
                <w:rFonts w:cs="Arial"/>
                <w:sz w:val="18"/>
                <w:szCs w:val="18"/>
              </w:rPr>
              <w:t>Questionnaire Total Score</w:t>
            </w:r>
          </w:p>
        </w:tc>
        <w:tc>
          <w:tcPr>
            <w:tcW w:w="2017" w:type="dxa"/>
            <w:vAlign w:val="center"/>
          </w:tcPr>
          <w:p w14:paraId="4202DF4B" w14:textId="77777777" w:rsidR="00D53030" w:rsidRDefault="00D53030" w:rsidP="00D53030">
            <w:pPr>
              <w:pStyle w:val="NoSpacing"/>
              <w:jc w:val="center"/>
              <w:rPr>
                <w:rFonts w:eastAsia="Times New Roman" w:cs="Arial"/>
                <w:sz w:val="18"/>
                <w:szCs w:val="18"/>
              </w:rPr>
            </w:pPr>
            <w:r w:rsidRPr="00EA3ABB">
              <w:rPr>
                <w:rFonts w:eastAsia="Times New Roman" w:cs="Arial"/>
                <w:sz w:val="18"/>
                <w:szCs w:val="18"/>
              </w:rPr>
              <w:t>-24.76</w:t>
            </w:r>
          </w:p>
          <w:p w14:paraId="5A0E6E4B" w14:textId="5279CA6F" w:rsidR="00D53030" w:rsidRPr="00AF205D" w:rsidRDefault="00D53030" w:rsidP="00D53030">
            <w:pPr>
              <w:pStyle w:val="NoSpacing"/>
              <w:jc w:val="center"/>
              <w:rPr>
                <w:rFonts w:cs="Arial"/>
                <w:sz w:val="18"/>
                <w:szCs w:val="18"/>
              </w:rPr>
            </w:pPr>
            <w:r w:rsidRPr="00AF205D">
              <w:rPr>
                <w:rFonts w:eastAsia="Times New Roman" w:cs="Arial"/>
                <w:sz w:val="18"/>
                <w:szCs w:val="18"/>
              </w:rPr>
              <w:t>(-29.86 to -19.652)</w:t>
            </w:r>
          </w:p>
          <w:p w14:paraId="76AA1433" w14:textId="77777777" w:rsidR="00D53030" w:rsidRPr="00EA3ABB" w:rsidRDefault="00D53030" w:rsidP="00D53030">
            <w:pPr>
              <w:pStyle w:val="NoSpacing"/>
              <w:jc w:val="center"/>
              <w:rPr>
                <w:rFonts w:cs="Arial"/>
                <w:sz w:val="18"/>
                <w:szCs w:val="18"/>
              </w:rPr>
            </w:pPr>
            <w:r w:rsidRPr="00EA3ABB">
              <w:rPr>
                <w:rFonts w:eastAsia="Times New Roman" w:cs="Arial"/>
                <w:sz w:val="18"/>
                <w:szCs w:val="18"/>
              </w:rPr>
              <w:t>p&lt;0.001</w:t>
            </w:r>
          </w:p>
        </w:tc>
        <w:tc>
          <w:tcPr>
            <w:tcW w:w="1800" w:type="dxa"/>
            <w:vAlign w:val="center"/>
          </w:tcPr>
          <w:p w14:paraId="05E86A06" w14:textId="77777777" w:rsidR="00D53030" w:rsidRPr="00AF205D" w:rsidRDefault="00D53030" w:rsidP="00D53030">
            <w:pPr>
              <w:pStyle w:val="NoSpacing"/>
              <w:jc w:val="center"/>
              <w:rPr>
                <w:rFonts w:eastAsia="Times New Roman" w:cs="Arial"/>
                <w:sz w:val="18"/>
                <w:szCs w:val="18"/>
              </w:rPr>
            </w:pPr>
            <w:r w:rsidRPr="00AF205D">
              <w:rPr>
                <w:rFonts w:eastAsia="Times New Roman" w:cs="Arial"/>
                <w:sz w:val="18"/>
                <w:szCs w:val="18"/>
              </w:rPr>
              <w:t>-19.85</w:t>
            </w:r>
          </w:p>
          <w:p w14:paraId="16453B56" w14:textId="3DDC962B" w:rsidR="00D53030" w:rsidRPr="00AF205D" w:rsidRDefault="00D53030" w:rsidP="00D53030">
            <w:pPr>
              <w:pStyle w:val="NoSpacing"/>
              <w:jc w:val="center"/>
              <w:rPr>
                <w:rFonts w:eastAsia="Times New Roman" w:cs="Arial"/>
                <w:sz w:val="18"/>
                <w:szCs w:val="18"/>
              </w:rPr>
            </w:pPr>
            <w:r w:rsidRPr="00AF205D">
              <w:rPr>
                <w:rFonts w:eastAsia="Times New Roman" w:cs="Arial"/>
                <w:sz w:val="18"/>
                <w:szCs w:val="18"/>
              </w:rPr>
              <w:t>(-26.96 to -12.734)</w:t>
            </w:r>
          </w:p>
          <w:p w14:paraId="75D5EA60" w14:textId="213C02D4" w:rsidR="00D53030" w:rsidRPr="00AF205D" w:rsidRDefault="00D53030" w:rsidP="00D53030">
            <w:pPr>
              <w:pStyle w:val="NoSpacing"/>
              <w:jc w:val="center"/>
              <w:rPr>
                <w:rFonts w:cs="Arial"/>
                <w:sz w:val="18"/>
                <w:szCs w:val="18"/>
              </w:rPr>
            </w:pPr>
            <w:r w:rsidRPr="00AF205D">
              <w:rPr>
                <w:rFonts w:eastAsia="Times New Roman" w:cs="Arial"/>
                <w:sz w:val="18"/>
                <w:szCs w:val="18"/>
              </w:rPr>
              <w:t>p=0.01</w:t>
            </w:r>
          </w:p>
        </w:tc>
        <w:tc>
          <w:tcPr>
            <w:tcW w:w="1890" w:type="dxa"/>
            <w:vAlign w:val="center"/>
          </w:tcPr>
          <w:p w14:paraId="6A2DD87B" w14:textId="77777777" w:rsidR="00D53030" w:rsidRDefault="00D53030" w:rsidP="00D53030">
            <w:pPr>
              <w:pStyle w:val="NoSpacing"/>
              <w:jc w:val="center"/>
              <w:rPr>
                <w:rFonts w:eastAsia="Times New Roman" w:cs="Arial"/>
                <w:sz w:val="18"/>
                <w:szCs w:val="18"/>
              </w:rPr>
            </w:pPr>
            <w:r w:rsidRPr="00EA3ABB">
              <w:rPr>
                <w:rFonts w:eastAsia="Times New Roman" w:cs="Arial"/>
                <w:sz w:val="18"/>
                <w:szCs w:val="18"/>
              </w:rPr>
              <w:t>-6.19</w:t>
            </w:r>
          </w:p>
          <w:p w14:paraId="37DF78D8" w14:textId="7BD6E89B" w:rsidR="00D53030" w:rsidRPr="00EA3ABB" w:rsidRDefault="00D53030" w:rsidP="00D53030">
            <w:pPr>
              <w:pStyle w:val="NoSpacing"/>
              <w:jc w:val="center"/>
              <w:rPr>
                <w:rFonts w:eastAsia="Times New Roman" w:cs="Arial"/>
                <w:sz w:val="18"/>
                <w:szCs w:val="18"/>
              </w:rPr>
            </w:pPr>
            <w:r w:rsidRPr="00EA3ABB">
              <w:rPr>
                <w:rFonts w:eastAsia="Times New Roman" w:cs="Arial"/>
                <w:sz w:val="18"/>
                <w:szCs w:val="18"/>
              </w:rPr>
              <w:t>(-13.737 to 1.353)</w:t>
            </w:r>
          </w:p>
        </w:tc>
      </w:tr>
    </w:tbl>
    <w:p w14:paraId="4C0DF0FD" w14:textId="77777777" w:rsidR="00C10C74" w:rsidRDefault="00C10C74" w:rsidP="009A39DD">
      <w:pPr>
        <w:pStyle w:val="ListParagraph"/>
        <w:numPr>
          <w:ilvl w:val="0"/>
          <w:numId w:val="0"/>
        </w:numPr>
        <w:ind w:left="360"/>
      </w:pPr>
    </w:p>
    <w:p w14:paraId="1DDFB7BE" w14:textId="3C2E01F5" w:rsidR="0057404B" w:rsidRDefault="000C704C" w:rsidP="00C10C74">
      <w:pPr>
        <w:pStyle w:val="ListParagraph"/>
      </w:pPr>
      <w:r>
        <w:t>Adverse reactions:</w:t>
      </w:r>
    </w:p>
    <w:p w14:paraId="74109AE2" w14:textId="77777777" w:rsidR="00C10C74" w:rsidRDefault="00C10C74" w:rsidP="009A39DD">
      <w:pPr>
        <w:pStyle w:val="ListParagraph"/>
        <w:numPr>
          <w:ilvl w:val="0"/>
          <w:numId w:val="0"/>
        </w:numPr>
        <w:ind w:left="360"/>
      </w:pPr>
    </w:p>
    <w:tbl>
      <w:tblPr>
        <w:tblStyle w:val="TableGrid"/>
        <w:tblW w:w="0" w:type="auto"/>
        <w:jc w:val="center"/>
        <w:tblLayout w:type="fixed"/>
        <w:tblLook w:val="06A0" w:firstRow="1" w:lastRow="0" w:firstColumn="1" w:lastColumn="0" w:noHBand="1" w:noVBand="1"/>
      </w:tblPr>
      <w:tblGrid>
        <w:gridCol w:w="2401"/>
        <w:gridCol w:w="1676"/>
        <w:gridCol w:w="1676"/>
        <w:gridCol w:w="1676"/>
      </w:tblGrid>
      <w:tr w:rsidR="001B4BC2" w:rsidRPr="00ED2C4E" w14:paraId="55413852" w14:textId="0255DD86" w:rsidTr="00C61D3A">
        <w:trPr>
          <w:trHeight w:val="300"/>
          <w:jc w:val="center"/>
        </w:trPr>
        <w:tc>
          <w:tcPr>
            <w:tcW w:w="2401" w:type="dxa"/>
          </w:tcPr>
          <w:p w14:paraId="6C9E59A9" w14:textId="1F265C9F" w:rsidR="001B4BC2" w:rsidRPr="00ED2C4E" w:rsidRDefault="001B4BC2" w:rsidP="001B4BC2">
            <w:pPr>
              <w:pStyle w:val="NoSpacing"/>
              <w:rPr>
                <w:rFonts w:cs="Arial"/>
                <w:b/>
                <w:bCs/>
                <w:sz w:val="18"/>
                <w:szCs w:val="18"/>
              </w:rPr>
            </w:pPr>
          </w:p>
        </w:tc>
        <w:tc>
          <w:tcPr>
            <w:tcW w:w="1676" w:type="dxa"/>
            <w:vAlign w:val="center"/>
          </w:tcPr>
          <w:p w14:paraId="2DC6BAE8" w14:textId="4E0D813B" w:rsidR="001B4BC2" w:rsidRPr="00ED2C4E" w:rsidRDefault="001B4BC2" w:rsidP="001B4BC2">
            <w:pPr>
              <w:pStyle w:val="NoSpacing"/>
              <w:jc w:val="center"/>
              <w:rPr>
                <w:rFonts w:cs="Arial"/>
                <w:b/>
                <w:bCs/>
                <w:sz w:val="18"/>
                <w:szCs w:val="18"/>
              </w:rPr>
            </w:pPr>
            <w:r w:rsidRPr="00ED2C4E">
              <w:rPr>
                <w:rFonts w:cs="Arial"/>
                <w:b/>
                <w:bCs/>
                <w:sz w:val="18"/>
                <w:szCs w:val="18"/>
              </w:rPr>
              <w:t>Cohort A Q4W (n=45)</w:t>
            </w:r>
          </w:p>
        </w:tc>
        <w:tc>
          <w:tcPr>
            <w:tcW w:w="1676" w:type="dxa"/>
            <w:vAlign w:val="center"/>
          </w:tcPr>
          <w:p w14:paraId="3BFD0F27" w14:textId="57A77689" w:rsidR="001B4BC2" w:rsidRPr="00ED2C4E" w:rsidRDefault="001B4BC2" w:rsidP="001B4BC2">
            <w:pPr>
              <w:pStyle w:val="NoSpacing"/>
              <w:jc w:val="center"/>
              <w:rPr>
                <w:rFonts w:cs="Arial"/>
                <w:b/>
                <w:bCs/>
                <w:sz w:val="18"/>
                <w:szCs w:val="18"/>
              </w:rPr>
            </w:pPr>
            <w:r w:rsidRPr="00ED2C4E">
              <w:rPr>
                <w:rFonts w:cs="Arial"/>
                <w:b/>
                <w:bCs/>
                <w:sz w:val="18"/>
                <w:szCs w:val="18"/>
              </w:rPr>
              <w:t>Cohort B Q8</w:t>
            </w:r>
          </w:p>
          <w:p w14:paraId="763B1FD5" w14:textId="6266D41A" w:rsidR="001B4BC2" w:rsidRPr="00ED2C4E" w:rsidRDefault="001B4BC2" w:rsidP="001B4BC2">
            <w:pPr>
              <w:pStyle w:val="NoSpacing"/>
              <w:jc w:val="center"/>
              <w:rPr>
                <w:rFonts w:cs="Arial"/>
                <w:b/>
                <w:bCs/>
                <w:sz w:val="18"/>
                <w:szCs w:val="18"/>
              </w:rPr>
            </w:pPr>
            <w:r w:rsidRPr="00ED2C4E">
              <w:rPr>
                <w:rFonts w:cs="Arial"/>
                <w:b/>
                <w:bCs/>
                <w:sz w:val="18"/>
                <w:szCs w:val="18"/>
              </w:rPr>
              <w:t>(n=23)</w:t>
            </w:r>
          </w:p>
        </w:tc>
        <w:tc>
          <w:tcPr>
            <w:tcW w:w="1676" w:type="dxa"/>
            <w:vAlign w:val="center"/>
          </w:tcPr>
          <w:p w14:paraId="0E2AF9AB" w14:textId="77777777" w:rsidR="001B4BC2" w:rsidRPr="00ED2C4E" w:rsidRDefault="001B4BC2" w:rsidP="001B4BC2">
            <w:pPr>
              <w:pStyle w:val="NoSpacing"/>
              <w:jc w:val="center"/>
              <w:rPr>
                <w:rFonts w:cs="Arial"/>
                <w:b/>
                <w:bCs/>
                <w:sz w:val="18"/>
                <w:szCs w:val="18"/>
              </w:rPr>
            </w:pPr>
            <w:r w:rsidRPr="00ED2C4E">
              <w:rPr>
                <w:rFonts w:cs="Arial"/>
                <w:b/>
                <w:bCs/>
                <w:sz w:val="18"/>
                <w:szCs w:val="18"/>
              </w:rPr>
              <w:t>Placebo</w:t>
            </w:r>
          </w:p>
          <w:p w14:paraId="2D7975FB" w14:textId="21B8D4E3" w:rsidR="001B4BC2" w:rsidRPr="00ED2C4E" w:rsidRDefault="001B4BC2" w:rsidP="001B4BC2">
            <w:pPr>
              <w:pStyle w:val="NoSpacing"/>
              <w:jc w:val="center"/>
              <w:rPr>
                <w:rFonts w:cs="Arial"/>
                <w:b/>
                <w:bCs/>
                <w:sz w:val="18"/>
                <w:szCs w:val="18"/>
              </w:rPr>
            </w:pPr>
            <w:r w:rsidRPr="00ED2C4E">
              <w:rPr>
                <w:rFonts w:cs="Arial"/>
                <w:b/>
                <w:bCs/>
                <w:sz w:val="18"/>
                <w:szCs w:val="18"/>
              </w:rPr>
              <w:t>(n=22)</w:t>
            </w:r>
          </w:p>
        </w:tc>
      </w:tr>
      <w:tr w:rsidR="001B4BC2" w:rsidRPr="00EA3ABB" w14:paraId="2D627BC9" w14:textId="0738E46E" w:rsidTr="00C61D3A">
        <w:trPr>
          <w:trHeight w:val="300"/>
          <w:jc w:val="center"/>
        </w:trPr>
        <w:tc>
          <w:tcPr>
            <w:tcW w:w="2401" w:type="dxa"/>
            <w:vAlign w:val="center"/>
          </w:tcPr>
          <w:p w14:paraId="421A8B10" w14:textId="474BA7BB" w:rsidR="001B4BC2" w:rsidRPr="00EA3ABB" w:rsidRDefault="001B4BC2" w:rsidP="00C61D3A">
            <w:pPr>
              <w:pStyle w:val="NoSpacing"/>
              <w:rPr>
                <w:rFonts w:cs="Arial"/>
                <w:sz w:val="18"/>
                <w:szCs w:val="18"/>
              </w:rPr>
            </w:pPr>
            <w:r w:rsidRPr="00EA3ABB">
              <w:rPr>
                <w:rFonts w:cs="Arial"/>
                <w:sz w:val="18"/>
                <w:szCs w:val="18"/>
              </w:rPr>
              <w:lastRenderedPageBreak/>
              <w:t>All-Cause mortality</w:t>
            </w:r>
          </w:p>
        </w:tc>
        <w:tc>
          <w:tcPr>
            <w:tcW w:w="1676" w:type="dxa"/>
            <w:vAlign w:val="center"/>
          </w:tcPr>
          <w:p w14:paraId="6A62F783" w14:textId="6BF59178" w:rsidR="001B4BC2" w:rsidRPr="00EA3ABB" w:rsidRDefault="001B4BC2" w:rsidP="00C61D3A">
            <w:pPr>
              <w:pStyle w:val="NoSpacing"/>
              <w:jc w:val="center"/>
              <w:rPr>
                <w:rFonts w:cs="Arial"/>
                <w:sz w:val="18"/>
                <w:szCs w:val="18"/>
              </w:rPr>
            </w:pPr>
            <w:r w:rsidRPr="00EA3ABB">
              <w:rPr>
                <w:rFonts w:cs="Arial"/>
                <w:sz w:val="18"/>
                <w:szCs w:val="18"/>
              </w:rPr>
              <w:t>0 (0%)</w:t>
            </w:r>
          </w:p>
        </w:tc>
        <w:tc>
          <w:tcPr>
            <w:tcW w:w="1676" w:type="dxa"/>
            <w:vAlign w:val="center"/>
          </w:tcPr>
          <w:p w14:paraId="71BE5226" w14:textId="77777777" w:rsidR="001B4BC2" w:rsidRPr="00EA3ABB" w:rsidRDefault="001B4BC2" w:rsidP="00C61D3A">
            <w:pPr>
              <w:pStyle w:val="NoSpacing"/>
              <w:jc w:val="center"/>
              <w:rPr>
                <w:rFonts w:cs="Arial"/>
                <w:sz w:val="18"/>
                <w:szCs w:val="18"/>
              </w:rPr>
            </w:pPr>
            <w:r w:rsidRPr="00EA3ABB">
              <w:rPr>
                <w:rFonts w:eastAsia="Times New Roman" w:cs="Arial"/>
                <w:sz w:val="18"/>
                <w:szCs w:val="18"/>
              </w:rPr>
              <w:t>0 (0%)</w:t>
            </w:r>
          </w:p>
        </w:tc>
        <w:tc>
          <w:tcPr>
            <w:tcW w:w="1676" w:type="dxa"/>
            <w:vAlign w:val="center"/>
          </w:tcPr>
          <w:p w14:paraId="0FF62012" w14:textId="4ACBD20B" w:rsidR="001B4BC2" w:rsidRPr="00EA3ABB" w:rsidRDefault="001B4BC2" w:rsidP="00C61D3A">
            <w:pPr>
              <w:pStyle w:val="NoSpacing"/>
              <w:jc w:val="center"/>
              <w:rPr>
                <w:rFonts w:eastAsia="Times New Roman" w:cs="Arial"/>
                <w:sz w:val="18"/>
                <w:szCs w:val="18"/>
              </w:rPr>
            </w:pPr>
            <w:r w:rsidRPr="00EA3ABB">
              <w:rPr>
                <w:rFonts w:cs="Arial"/>
                <w:sz w:val="18"/>
                <w:szCs w:val="18"/>
              </w:rPr>
              <w:t>0 (0%)</w:t>
            </w:r>
          </w:p>
        </w:tc>
      </w:tr>
      <w:tr w:rsidR="001B4BC2" w:rsidRPr="00EA3ABB" w14:paraId="26C65216" w14:textId="2C51AAC3" w:rsidTr="00C61D3A">
        <w:trPr>
          <w:trHeight w:val="300"/>
          <w:jc w:val="center"/>
        </w:trPr>
        <w:tc>
          <w:tcPr>
            <w:tcW w:w="2401" w:type="dxa"/>
            <w:vAlign w:val="center"/>
          </w:tcPr>
          <w:p w14:paraId="36338ACA" w14:textId="3C6E9D6E" w:rsidR="001B4BC2" w:rsidRPr="00EA3ABB" w:rsidRDefault="001B4BC2" w:rsidP="00C61D3A">
            <w:pPr>
              <w:pStyle w:val="NoSpacing"/>
              <w:rPr>
                <w:rFonts w:cs="Arial"/>
                <w:sz w:val="18"/>
                <w:szCs w:val="18"/>
              </w:rPr>
            </w:pPr>
            <w:r w:rsidRPr="00EA3ABB">
              <w:rPr>
                <w:rFonts w:cs="Arial"/>
                <w:sz w:val="18"/>
                <w:szCs w:val="18"/>
              </w:rPr>
              <w:t>Serious Adverse Events</w:t>
            </w:r>
          </w:p>
        </w:tc>
        <w:tc>
          <w:tcPr>
            <w:tcW w:w="1676" w:type="dxa"/>
            <w:vAlign w:val="center"/>
          </w:tcPr>
          <w:p w14:paraId="6DBC4707" w14:textId="50D89F03" w:rsidR="001B4BC2" w:rsidRPr="00EA3ABB" w:rsidRDefault="001B4BC2" w:rsidP="00C61D3A">
            <w:pPr>
              <w:pStyle w:val="NoSpacing"/>
              <w:jc w:val="center"/>
              <w:rPr>
                <w:rFonts w:cs="Arial"/>
                <w:sz w:val="18"/>
                <w:szCs w:val="18"/>
              </w:rPr>
            </w:pPr>
            <w:r w:rsidRPr="00EA3ABB">
              <w:rPr>
                <w:rFonts w:eastAsia="Roboto" w:cs="Arial"/>
                <w:color w:val="1B1B1B"/>
                <w:sz w:val="18"/>
                <w:szCs w:val="18"/>
              </w:rPr>
              <w:t>0 (0.00%)</w:t>
            </w:r>
          </w:p>
        </w:tc>
        <w:tc>
          <w:tcPr>
            <w:tcW w:w="1676" w:type="dxa"/>
            <w:vAlign w:val="center"/>
          </w:tcPr>
          <w:p w14:paraId="6AFDD44C" w14:textId="2EAF9ADE" w:rsidR="001B4BC2" w:rsidRPr="00EA3ABB" w:rsidRDefault="001B4BC2" w:rsidP="00C61D3A">
            <w:pPr>
              <w:pStyle w:val="NoSpacing"/>
              <w:jc w:val="center"/>
              <w:rPr>
                <w:rFonts w:cs="Arial"/>
                <w:sz w:val="18"/>
                <w:szCs w:val="18"/>
              </w:rPr>
            </w:pPr>
            <w:r w:rsidRPr="00EA3ABB">
              <w:rPr>
                <w:rFonts w:eastAsia="Times New Roman" w:cs="Arial"/>
                <w:sz w:val="18"/>
                <w:szCs w:val="18"/>
              </w:rPr>
              <w:t>0 (0.00%)</w:t>
            </w:r>
          </w:p>
        </w:tc>
        <w:tc>
          <w:tcPr>
            <w:tcW w:w="1676" w:type="dxa"/>
            <w:vAlign w:val="center"/>
          </w:tcPr>
          <w:p w14:paraId="1ACF3749" w14:textId="425BFD25" w:rsidR="001B4BC2" w:rsidRPr="00EA3ABB" w:rsidRDefault="001B4BC2" w:rsidP="00C61D3A">
            <w:pPr>
              <w:pStyle w:val="NoSpacing"/>
              <w:jc w:val="center"/>
              <w:rPr>
                <w:rFonts w:eastAsia="Times New Roman" w:cs="Arial"/>
                <w:sz w:val="18"/>
                <w:szCs w:val="18"/>
              </w:rPr>
            </w:pPr>
            <w:r w:rsidRPr="00EA3ABB">
              <w:rPr>
                <w:rFonts w:eastAsia="Times New Roman" w:cs="Arial"/>
                <w:sz w:val="18"/>
                <w:szCs w:val="18"/>
              </w:rPr>
              <w:t>1</w:t>
            </w:r>
            <w:r w:rsidR="006D5BCC">
              <w:rPr>
                <w:rFonts w:eastAsia="Times New Roman" w:cs="Arial"/>
                <w:sz w:val="18"/>
                <w:szCs w:val="18"/>
              </w:rPr>
              <w:t xml:space="preserve"> </w:t>
            </w:r>
            <w:r w:rsidRPr="00EA3ABB">
              <w:rPr>
                <w:rFonts w:eastAsia="Times New Roman" w:cs="Arial"/>
                <w:sz w:val="18"/>
                <w:szCs w:val="18"/>
              </w:rPr>
              <w:t>(4.55%)</w:t>
            </w:r>
          </w:p>
        </w:tc>
      </w:tr>
      <w:tr w:rsidR="001B4BC2" w:rsidRPr="00EA3ABB" w14:paraId="596FDD11" w14:textId="241BE4C5" w:rsidTr="00C61D3A">
        <w:trPr>
          <w:trHeight w:val="300"/>
          <w:jc w:val="center"/>
        </w:trPr>
        <w:tc>
          <w:tcPr>
            <w:tcW w:w="2401" w:type="dxa"/>
            <w:vAlign w:val="center"/>
          </w:tcPr>
          <w:p w14:paraId="2147CDD1" w14:textId="7A9A5F65" w:rsidR="001B4BC2" w:rsidRPr="00EA3ABB" w:rsidRDefault="001B4BC2" w:rsidP="00C61D3A">
            <w:pPr>
              <w:pStyle w:val="NoSpacing"/>
              <w:rPr>
                <w:rFonts w:cs="Arial"/>
                <w:sz w:val="18"/>
                <w:szCs w:val="18"/>
              </w:rPr>
            </w:pPr>
            <w:r w:rsidRPr="00EA3ABB">
              <w:rPr>
                <w:rFonts w:cs="Arial"/>
                <w:sz w:val="18"/>
                <w:szCs w:val="18"/>
              </w:rPr>
              <w:t>Other Adverse Events</w:t>
            </w:r>
          </w:p>
        </w:tc>
        <w:tc>
          <w:tcPr>
            <w:tcW w:w="1676" w:type="dxa"/>
            <w:vAlign w:val="center"/>
          </w:tcPr>
          <w:p w14:paraId="1B6B51C1" w14:textId="5F563142" w:rsidR="001B4BC2" w:rsidRPr="00EA3ABB" w:rsidRDefault="001B4BC2" w:rsidP="00C61D3A">
            <w:pPr>
              <w:pStyle w:val="NoSpacing"/>
              <w:jc w:val="center"/>
              <w:rPr>
                <w:rFonts w:cs="Arial"/>
                <w:sz w:val="18"/>
                <w:szCs w:val="18"/>
              </w:rPr>
            </w:pPr>
            <w:r w:rsidRPr="00EA3ABB">
              <w:rPr>
                <w:rFonts w:eastAsia="Times New Roman" w:cs="Arial"/>
                <w:sz w:val="18"/>
                <w:szCs w:val="18"/>
              </w:rPr>
              <w:t>22 (48.89%)</w:t>
            </w:r>
          </w:p>
        </w:tc>
        <w:tc>
          <w:tcPr>
            <w:tcW w:w="1676" w:type="dxa"/>
            <w:vAlign w:val="center"/>
          </w:tcPr>
          <w:p w14:paraId="7F2C16B3" w14:textId="3654683A" w:rsidR="001B4BC2" w:rsidRPr="00EA3ABB" w:rsidRDefault="001B4BC2" w:rsidP="00C61D3A">
            <w:pPr>
              <w:pStyle w:val="NoSpacing"/>
              <w:jc w:val="center"/>
              <w:rPr>
                <w:rFonts w:cs="Arial"/>
                <w:sz w:val="18"/>
                <w:szCs w:val="18"/>
              </w:rPr>
            </w:pPr>
            <w:r w:rsidRPr="00EA3ABB">
              <w:rPr>
                <w:rFonts w:eastAsia="Times New Roman" w:cs="Arial"/>
                <w:sz w:val="18"/>
                <w:szCs w:val="18"/>
              </w:rPr>
              <w:t>13 (56.52%)</w:t>
            </w:r>
          </w:p>
        </w:tc>
        <w:tc>
          <w:tcPr>
            <w:tcW w:w="1676" w:type="dxa"/>
            <w:vAlign w:val="center"/>
          </w:tcPr>
          <w:p w14:paraId="3BA204B9" w14:textId="3F9D9705" w:rsidR="001B4BC2" w:rsidRPr="00EA3ABB" w:rsidRDefault="001B4BC2" w:rsidP="00C61D3A">
            <w:pPr>
              <w:pStyle w:val="NoSpacing"/>
              <w:jc w:val="center"/>
              <w:rPr>
                <w:rFonts w:eastAsia="Times New Roman" w:cs="Arial"/>
                <w:sz w:val="18"/>
                <w:szCs w:val="18"/>
              </w:rPr>
            </w:pPr>
            <w:r w:rsidRPr="00EA3ABB">
              <w:rPr>
                <w:rFonts w:eastAsia="Times New Roman" w:cs="Arial"/>
                <w:sz w:val="18"/>
                <w:szCs w:val="18"/>
              </w:rPr>
              <w:t>15 (68.18%)</w:t>
            </w:r>
          </w:p>
        </w:tc>
      </w:tr>
    </w:tbl>
    <w:p w14:paraId="6649BF8C" w14:textId="242C6AE6" w:rsidR="00343D6B" w:rsidRDefault="001500CD" w:rsidP="000D28AF">
      <w:pPr>
        <w:pStyle w:val="ListParagraph"/>
        <w:numPr>
          <w:ilvl w:val="1"/>
          <w:numId w:val="6"/>
        </w:numPr>
      </w:pPr>
      <w:r>
        <w:t xml:space="preserve">Adverse events </w:t>
      </w:r>
      <w:r w:rsidR="00317EB9">
        <w:t>with incidence higher than 5%</w:t>
      </w:r>
      <w:r w:rsidR="004B15DE">
        <w:t xml:space="preserve"> were injection site reactions, upper respiratory tract infection, urinary tract infection, and abdominal discomfort. </w:t>
      </w:r>
      <w:r w:rsidR="00773894">
        <w:t>T</w:t>
      </w:r>
      <w:r w:rsidR="00C75656">
        <w:t xml:space="preserve">he </w:t>
      </w:r>
      <w:r w:rsidR="00D32607">
        <w:t xml:space="preserve">incidence </w:t>
      </w:r>
      <w:r w:rsidR="00AF464F">
        <w:t xml:space="preserve">of </w:t>
      </w:r>
      <w:r w:rsidR="00773894">
        <w:t>infections was</w:t>
      </w:r>
      <w:r w:rsidR="00D32607">
        <w:t xml:space="preserve"> similar between Q4W and Q8W</w:t>
      </w:r>
      <w:r w:rsidR="001D56C6">
        <w:t xml:space="preserve"> dosing</w:t>
      </w:r>
      <w:r w:rsidR="00D32607">
        <w:t>.</w:t>
      </w:r>
    </w:p>
    <w:p w14:paraId="25982275" w14:textId="77777777" w:rsidR="008157C7" w:rsidRDefault="008157C7" w:rsidP="0079145E"/>
    <w:p w14:paraId="154001C8" w14:textId="044EEE20" w:rsidR="00CA657F" w:rsidRPr="000F23B5" w:rsidRDefault="00CA657F" w:rsidP="0079145E">
      <w:r>
        <w:t>OASISplus study (</w:t>
      </w:r>
      <w:r w:rsidR="00B01824">
        <w:t xml:space="preserve">Study NCT05392114) </w:t>
      </w:r>
      <w:r w:rsidR="008367FB">
        <w:t>–</w:t>
      </w:r>
      <w:r w:rsidR="00B01824">
        <w:t xml:space="preserve"> </w:t>
      </w:r>
      <w:r w:rsidR="008367FB">
        <w:t xml:space="preserve">ongoing open-label extension study consists of two study </w:t>
      </w:r>
      <w:r w:rsidR="008157C7">
        <w:t>arms</w:t>
      </w:r>
      <w:r w:rsidR="008367FB">
        <w:t>: patients who rolled over from the Phase 3 OASIS-HAE trial and those who switched from a commercially available alternative HAE</w:t>
      </w:r>
      <w:r w:rsidR="002A2232">
        <w:t xml:space="preserve"> long-term prophylaxis to Dawnzera.  </w:t>
      </w:r>
      <w:r w:rsidR="00FB4A66">
        <w:t>T</w:t>
      </w:r>
      <w:r w:rsidR="00924CC9">
        <w:t>he t</w:t>
      </w:r>
      <w:r w:rsidR="00FB4A66">
        <w:t xml:space="preserve">reatment dose </w:t>
      </w:r>
      <w:r w:rsidR="00924CC9">
        <w:t>in this study</w:t>
      </w:r>
      <w:r w:rsidR="00FB4A66">
        <w:t xml:space="preserve"> </w:t>
      </w:r>
      <w:r w:rsidR="00043C1D">
        <w:t>wa</w:t>
      </w:r>
      <w:r w:rsidR="00924CC9">
        <w:t>s</w:t>
      </w:r>
      <w:r w:rsidR="00E25FF2" w:rsidRPr="00E25FF2">
        <w:t xml:space="preserve"> </w:t>
      </w:r>
      <w:r w:rsidR="006E5AA1">
        <w:t>Dawnzera</w:t>
      </w:r>
      <w:r w:rsidR="00E25FF2" w:rsidRPr="00E25FF2">
        <w:t xml:space="preserve"> 80 mg subcutaneously every 4 weeks</w:t>
      </w:r>
      <w:r w:rsidR="006E5AA1">
        <w:t xml:space="preserve">. </w:t>
      </w:r>
      <w:r w:rsidR="00CE17A1" w:rsidRPr="00CE17A1">
        <w:t xml:space="preserve">The primary end point </w:t>
      </w:r>
      <w:r w:rsidR="00043C1D">
        <w:t>wa</w:t>
      </w:r>
      <w:r w:rsidR="00924CC9">
        <w:t>s</w:t>
      </w:r>
      <w:r w:rsidR="00CE17A1" w:rsidRPr="00CE17A1">
        <w:t xml:space="preserve"> the incidence and severity of treatment-emergent adverse events.</w:t>
      </w:r>
      <w:r w:rsidR="00CE17A1">
        <w:t xml:space="preserve"> </w:t>
      </w:r>
      <w:r w:rsidR="007649C9">
        <w:t xml:space="preserve">Interim </w:t>
      </w:r>
      <w:r w:rsidR="004A6648">
        <w:t xml:space="preserve">analysis </w:t>
      </w:r>
      <w:r w:rsidR="001E363E">
        <w:t>at week 16</w:t>
      </w:r>
      <w:r w:rsidR="007649C9">
        <w:t xml:space="preserve"> </w:t>
      </w:r>
      <w:r w:rsidR="00204EA1">
        <w:t>were</w:t>
      </w:r>
      <w:r w:rsidR="007649C9">
        <w:t xml:space="preserve"> </w:t>
      </w:r>
      <w:r w:rsidR="009D087E">
        <w:t xml:space="preserve">available </w:t>
      </w:r>
      <w:r w:rsidR="001E363E">
        <w:t>on</w:t>
      </w:r>
      <w:r w:rsidR="009D087E">
        <w:t xml:space="preserve"> patients who switched from other long-term prophylactic therapies. </w:t>
      </w:r>
      <w:r w:rsidR="00FA6B76" w:rsidRPr="00FA6B76">
        <w:t>Of the 65 enrolled patients, 58 (89%) completed the interim week 16 study treatment period</w:t>
      </w:r>
      <w:r w:rsidR="007B2BB8">
        <w:t xml:space="preserve"> with a m</w:t>
      </w:r>
      <w:r w:rsidR="00E63DC2">
        <w:t xml:space="preserve">ean </w:t>
      </w:r>
      <w:r w:rsidR="00F0487D">
        <w:t xml:space="preserve">reported </w:t>
      </w:r>
      <w:r w:rsidR="00C4430E">
        <w:t xml:space="preserve">HAE attack rates </w:t>
      </w:r>
      <w:r w:rsidR="007B2BB8">
        <w:t>decreased by</w:t>
      </w:r>
      <w:r w:rsidR="00C40EC8">
        <w:t xml:space="preserve"> 62%</w:t>
      </w:r>
      <w:r w:rsidR="00A73BDF">
        <w:t xml:space="preserve"> </w:t>
      </w:r>
      <w:r w:rsidR="00F33B3F">
        <w:t>from baseline</w:t>
      </w:r>
      <w:r w:rsidR="00C40EC8">
        <w:t xml:space="preserve">. </w:t>
      </w:r>
      <w:r w:rsidR="00D67D5F">
        <w:t>M</w:t>
      </w:r>
      <w:r w:rsidR="00C40EC8" w:rsidRPr="00C40EC8">
        <w:t xml:space="preserve">ost patients preferred </w:t>
      </w:r>
      <w:r w:rsidR="00C669CB">
        <w:t>Dawnzera</w:t>
      </w:r>
      <w:r w:rsidR="00C40EC8" w:rsidRPr="00C40EC8">
        <w:t xml:space="preserve"> over their prior treatment, with improved treatment satisfaction. </w:t>
      </w:r>
      <w:r w:rsidR="00C40EC8">
        <w:t>The estimated completion date of this study is in March 2027.</w:t>
      </w:r>
    </w:p>
    <w:bookmarkEnd w:id="0"/>
    <w:p w14:paraId="6413C0CF" w14:textId="3970634F" w:rsidR="00AE77DB" w:rsidRDefault="003A43A6" w:rsidP="00BC46EE">
      <w:pPr>
        <w:pStyle w:val="Style2"/>
      </w:pPr>
      <w:r>
        <w:t>Price Per Unit (WAC)</w:t>
      </w:r>
    </w:p>
    <w:p w14:paraId="18F37469" w14:textId="4BFF7CFF" w:rsidR="003C4ADB" w:rsidRDefault="003C4ADB" w:rsidP="009A39DD">
      <w:pPr>
        <w:pStyle w:val="ListParagraph"/>
      </w:pPr>
      <w:r>
        <w:t>Cost of Dawnzera per pen: $57,462.00</w:t>
      </w:r>
      <w:r w:rsidR="006C1731">
        <w:t>.</w:t>
      </w:r>
    </w:p>
    <w:p w14:paraId="60AD59B4" w14:textId="73BC3BA4" w:rsidR="003A43A6" w:rsidRDefault="003C4ADB" w:rsidP="009A39DD">
      <w:pPr>
        <w:pStyle w:val="ListParagraph"/>
      </w:pPr>
      <w:r>
        <w:t xml:space="preserve">Annual cost for </w:t>
      </w:r>
      <w:r w:rsidR="00F8728D">
        <w:t>every 4-week regimen</w:t>
      </w:r>
      <w:r>
        <w:t>: $747,006</w:t>
      </w:r>
      <w:r>
        <w:t>‬.0</w:t>
      </w:r>
      <w:r w:rsidR="00F8728D">
        <w:t>0</w:t>
      </w:r>
      <w:r>
        <w:t xml:space="preserve"> </w:t>
      </w:r>
    </w:p>
    <w:p w14:paraId="163A1116" w14:textId="6F73DA70" w:rsidR="00C93816" w:rsidRPr="00696E3A" w:rsidRDefault="00C93816" w:rsidP="009A39DD">
      <w:pPr>
        <w:pStyle w:val="ListParagraph"/>
      </w:pPr>
      <w:r>
        <w:t xml:space="preserve">Annual cost for </w:t>
      </w:r>
      <w:r w:rsidR="004567DE">
        <w:t>every 8-week regimen: $373,503.00</w:t>
      </w:r>
    </w:p>
    <w:p w14:paraId="369758BB" w14:textId="3EBDB80C" w:rsidR="003A43A6" w:rsidRPr="00C02553" w:rsidRDefault="003A43A6" w:rsidP="00BC46EE">
      <w:pPr>
        <w:pStyle w:val="Style2"/>
      </w:pPr>
      <w:r>
        <w:t>Therapeutic Alternatives</w:t>
      </w:r>
    </w:p>
    <w:p w14:paraId="193D99AC" w14:textId="2EF6D89B" w:rsidR="00EA48BD" w:rsidRPr="00726B3D" w:rsidRDefault="00EA48BD" w:rsidP="009A39DD">
      <w:pPr>
        <w:pStyle w:val="ListParagraph"/>
      </w:pPr>
      <w:r w:rsidRPr="00726B3D">
        <w:t xml:space="preserve">Though not the first agent approved for HAE long-term prophylaxis, Dawnzera is the first RNA-targeted therapy that reduces PKK production by selectively targeting PKK messenger RNA. </w:t>
      </w:r>
    </w:p>
    <w:p w14:paraId="3D55FEFA" w14:textId="01B61EDB" w:rsidR="00225105" w:rsidRDefault="00EA48BD" w:rsidP="009A39DD">
      <w:pPr>
        <w:pStyle w:val="ListParagraph"/>
      </w:pPr>
      <w:r w:rsidRPr="00726B3D">
        <w:t>Like other injectable agents such as Andembry</w:t>
      </w:r>
      <w:r w:rsidR="00446EB8" w:rsidRPr="00E538D7">
        <w:rPr>
          <w:vertAlign w:val="superscript"/>
        </w:rPr>
        <w:t>®</w:t>
      </w:r>
      <w:r w:rsidRPr="00726B3D">
        <w:t>, Takhzyro</w:t>
      </w:r>
      <w:r w:rsidR="00446EB8" w:rsidRPr="0037426F">
        <w:rPr>
          <w:vertAlign w:val="superscript"/>
        </w:rPr>
        <w:t>®</w:t>
      </w:r>
      <w:r w:rsidRPr="00726B3D">
        <w:t xml:space="preserve"> and Haegarda</w:t>
      </w:r>
      <w:r w:rsidR="00446EB8" w:rsidRPr="0037426F">
        <w:rPr>
          <w:vertAlign w:val="superscript"/>
        </w:rPr>
        <w:t>®</w:t>
      </w:r>
      <w:r w:rsidRPr="00726B3D">
        <w:t xml:space="preserve">, </w:t>
      </w:r>
      <w:r w:rsidR="004B0366">
        <w:t>Dawnzera</w:t>
      </w:r>
      <w:r w:rsidRPr="00726B3D">
        <w:t xml:space="preserve"> may be self-administered</w:t>
      </w:r>
      <w:r w:rsidR="00225105">
        <w:t xml:space="preserve">. </w:t>
      </w:r>
      <w:r w:rsidR="0081618A">
        <w:t xml:space="preserve">Unlike Andembry, Dawnzera </w:t>
      </w:r>
      <w:r w:rsidR="00925B83">
        <w:t xml:space="preserve">does not </w:t>
      </w:r>
      <w:r w:rsidR="0081618A">
        <w:t xml:space="preserve">require a loading dose. </w:t>
      </w:r>
    </w:p>
    <w:p w14:paraId="24A114EF" w14:textId="61AE6E75" w:rsidR="00EA48BD" w:rsidRPr="00726B3D" w:rsidRDefault="004B0366" w:rsidP="009A39DD">
      <w:pPr>
        <w:pStyle w:val="ListParagraph"/>
      </w:pPr>
      <w:r>
        <w:t>Dawnzera</w:t>
      </w:r>
      <w:r w:rsidR="00B03CEF">
        <w:t>’s</w:t>
      </w:r>
      <w:r w:rsidR="00EA48BD" w:rsidRPr="00726B3D">
        <w:t xml:space="preserve"> primary advantage is its extended dosing interval: the </w:t>
      </w:r>
      <w:r w:rsidR="00AF0891">
        <w:t>4-week</w:t>
      </w:r>
      <w:r w:rsidR="00EA48BD" w:rsidRPr="00726B3D">
        <w:t xml:space="preserve"> or </w:t>
      </w:r>
      <w:r w:rsidR="00AF0891">
        <w:t xml:space="preserve">8-week </w:t>
      </w:r>
      <w:r w:rsidR="00EA48BD" w:rsidRPr="00726B3D">
        <w:t>extended dosing interval may provide an advantage over other long-term prophylactic HAE injectable agents in the market</w:t>
      </w:r>
      <w:r w:rsidR="003E4679">
        <w:t>.</w:t>
      </w:r>
    </w:p>
    <w:p w14:paraId="6416890C" w14:textId="0F96E12D" w:rsidR="003E4679" w:rsidRDefault="00EA48BD" w:rsidP="009A39DD">
      <w:pPr>
        <w:pStyle w:val="ListParagraph"/>
      </w:pPr>
      <w:r w:rsidRPr="00726B3D">
        <w:t>In June 2025, Andembry</w:t>
      </w:r>
      <w:r w:rsidR="00446EB8" w:rsidRPr="0037426F">
        <w:rPr>
          <w:vertAlign w:val="superscript"/>
        </w:rPr>
        <w:t>®</w:t>
      </w:r>
      <w:r w:rsidRPr="00726B3D">
        <w:t>, a first-in-class monoclonal antibody targeting FXIIa, was also approved for HAE prophylaxis</w:t>
      </w:r>
      <w:r w:rsidR="00AF0891">
        <w:t xml:space="preserve">. Andembry is </w:t>
      </w:r>
      <w:r w:rsidRPr="00726B3D">
        <w:t xml:space="preserve">dosed once monthly, following an initial SC loading dose. </w:t>
      </w:r>
    </w:p>
    <w:p w14:paraId="476C4BE5" w14:textId="45162742" w:rsidR="00EA48BD" w:rsidRPr="00726B3D" w:rsidRDefault="00821293" w:rsidP="009A39DD">
      <w:pPr>
        <w:pStyle w:val="ListParagraph"/>
      </w:pPr>
      <w:r>
        <w:t>An o</w:t>
      </w:r>
      <w:r w:rsidR="00EA48BD" w:rsidRPr="00726B3D">
        <w:t>ral</w:t>
      </w:r>
      <w:r w:rsidR="00925B83">
        <w:t>,</w:t>
      </w:r>
      <w:r w:rsidR="00EA48BD" w:rsidRPr="00726B3D">
        <w:t xml:space="preserve"> long-term prophylactic HAE agent, Orladeyo</w:t>
      </w:r>
      <w:r w:rsidR="00446EB8" w:rsidRPr="0037426F">
        <w:rPr>
          <w:vertAlign w:val="superscript"/>
        </w:rPr>
        <w:t>®</w:t>
      </w:r>
      <w:r w:rsidR="00EA48BD" w:rsidRPr="00726B3D">
        <w:t xml:space="preserve">, is also available, but the reduction in monthly attack rate </w:t>
      </w:r>
      <w:r w:rsidR="00007818">
        <w:t>is lower</w:t>
      </w:r>
      <w:r w:rsidR="00EA48BD" w:rsidRPr="00726B3D">
        <w:t xml:space="preserve"> </w:t>
      </w:r>
      <w:r w:rsidR="00007818">
        <w:t xml:space="preserve">compared to </w:t>
      </w:r>
      <w:r w:rsidR="00EA48BD" w:rsidRPr="00726B3D">
        <w:t xml:space="preserve">the injectable agents. </w:t>
      </w:r>
    </w:p>
    <w:p w14:paraId="20A87A5E" w14:textId="77777777" w:rsidR="00EA48BD" w:rsidRDefault="00EA48BD" w:rsidP="009A39DD">
      <w:pPr>
        <w:pStyle w:val="ListParagraph"/>
      </w:pPr>
      <w:r w:rsidRPr="48B196EB">
        <w:t>A comparison of long-term prophylaxis agents is below:</w:t>
      </w:r>
    </w:p>
    <w:p w14:paraId="6C159BEA" w14:textId="77777777" w:rsidR="00472F3D" w:rsidRPr="00417F7D" w:rsidRDefault="00472F3D" w:rsidP="00472F3D">
      <w:pPr>
        <w:pStyle w:val="NoSpacing"/>
        <w:ind w:left="720"/>
        <w:rPr>
          <w:sz w:val="20"/>
          <w:szCs w:val="20"/>
        </w:rPr>
      </w:pPr>
    </w:p>
    <w:tbl>
      <w:tblPr>
        <w:tblStyle w:val="TableGrid"/>
        <w:tblW w:w="9355" w:type="dxa"/>
        <w:jc w:val="center"/>
        <w:tblLayout w:type="fixed"/>
        <w:tblLook w:val="06A0" w:firstRow="1" w:lastRow="0" w:firstColumn="1" w:lastColumn="0" w:noHBand="1" w:noVBand="1"/>
      </w:tblPr>
      <w:tblGrid>
        <w:gridCol w:w="1435"/>
        <w:gridCol w:w="1440"/>
        <w:gridCol w:w="1296"/>
        <w:gridCol w:w="1296"/>
        <w:gridCol w:w="1296"/>
        <w:gridCol w:w="1296"/>
        <w:gridCol w:w="1296"/>
      </w:tblGrid>
      <w:tr w:rsidR="00BB6482" w:rsidRPr="00BB6482" w14:paraId="3291DF77" w14:textId="77777777" w:rsidTr="00635763">
        <w:trPr>
          <w:trHeight w:val="300"/>
          <w:jc w:val="center"/>
        </w:trPr>
        <w:tc>
          <w:tcPr>
            <w:tcW w:w="1435" w:type="dxa"/>
          </w:tcPr>
          <w:p w14:paraId="2804DB09" w14:textId="77777777" w:rsidR="00BB6482" w:rsidRPr="009A39DD" w:rsidRDefault="00BB6482" w:rsidP="0053682B">
            <w:pPr>
              <w:pStyle w:val="NoSpacing"/>
              <w:rPr>
                <w:rFonts w:cs="Arial"/>
                <w:b/>
                <w:bCs/>
                <w:sz w:val="18"/>
                <w:szCs w:val="18"/>
              </w:rPr>
            </w:pPr>
            <w:r w:rsidRPr="009A39DD">
              <w:rPr>
                <w:rFonts w:cs="Arial"/>
                <w:b/>
                <w:bCs/>
                <w:sz w:val="18"/>
                <w:szCs w:val="18"/>
              </w:rPr>
              <w:t>Medication</w:t>
            </w:r>
          </w:p>
        </w:tc>
        <w:tc>
          <w:tcPr>
            <w:tcW w:w="1440" w:type="dxa"/>
          </w:tcPr>
          <w:p w14:paraId="5D53ABEE" w14:textId="21F72518" w:rsidR="00BB6482" w:rsidRPr="009A39DD" w:rsidRDefault="00BB6482" w:rsidP="00635763">
            <w:pPr>
              <w:pStyle w:val="NoSpacing"/>
              <w:jc w:val="center"/>
              <w:rPr>
                <w:rFonts w:cs="Arial"/>
                <w:b/>
                <w:bCs/>
                <w:sz w:val="18"/>
                <w:szCs w:val="18"/>
              </w:rPr>
            </w:pPr>
            <w:r w:rsidRPr="009A39DD">
              <w:rPr>
                <w:rFonts w:cs="Arial"/>
                <w:b/>
                <w:bCs/>
                <w:sz w:val="18"/>
                <w:szCs w:val="18"/>
              </w:rPr>
              <w:t>Dawnzera</w:t>
            </w:r>
          </w:p>
        </w:tc>
        <w:tc>
          <w:tcPr>
            <w:tcW w:w="1296" w:type="dxa"/>
          </w:tcPr>
          <w:p w14:paraId="6DF7A41F" w14:textId="5EA2DA68" w:rsidR="00BB6482" w:rsidRPr="009A39DD" w:rsidRDefault="00BB6482" w:rsidP="00635763">
            <w:pPr>
              <w:pStyle w:val="NoSpacing"/>
              <w:jc w:val="center"/>
              <w:rPr>
                <w:rFonts w:cs="Arial"/>
                <w:b/>
                <w:bCs/>
                <w:sz w:val="18"/>
                <w:szCs w:val="18"/>
              </w:rPr>
            </w:pPr>
            <w:r w:rsidRPr="009A39DD">
              <w:rPr>
                <w:rFonts w:cs="Arial"/>
                <w:b/>
                <w:bCs/>
                <w:sz w:val="18"/>
                <w:szCs w:val="18"/>
              </w:rPr>
              <w:t>Andembry</w:t>
            </w:r>
          </w:p>
        </w:tc>
        <w:tc>
          <w:tcPr>
            <w:tcW w:w="1296" w:type="dxa"/>
          </w:tcPr>
          <w:p w14:paraId="50603139" w14:textId="713DF43E" w:rsidR="00BB6482" w:rsidRPr="009A39DD" w:rsidRDefault="00BB6482" w:rsidP="00635763">
            <w:pPr>
              <w:pStyle w:val="NoSpacing"/>
              <w:jc w:val="center"/>
              <w:rPr>
                <w:rFonts w:cs="Arial"/>
                <w:b/>
                <w:bCs/>
                <w:sz w:val="18"/>
                <w:szCs w:val="18"/>
              </w:rPr>
            </w:pPr>
            <w:r w:rsidRPr="009A39DD">
              <w:rPr>
                <w:rFonts w:cs="Arial"/>
                <w:b/>
                <w:bCs/>
                <w:sz w:val="18"/>
                <w:szCs w:val="18"/>
              </w:rPr>
              <w:t>Orladeyo</w:t>
            </w:r>
          </w:p>
        </w:tc>
        <w:tc>
          <w:tcPr>
            <w:tcW w:w="1296" w:type="dxa"/>
          </w:tcPr>
          <w:p w14:paraId="154D2A35" w14:textId="1EE0CCA3" w:rsidR="00BB6482" w:rsidRPr="009A39DD" w:rsidRDefault="00BB6482" w:rsidP="00635763">
            <w:pPr>
              <w:pStyle w:val="NoSpacing"/>
              <w:jc w:val="center"/>
              <w:rPr>
                <w:rFonts w:cs="Arial"/>
                <w:b/>
                <w:bCs/>
                <w:sz w:val="18"/>
                <w:szCs w:val="18"/>
              </w:rPr>
            </w:pPr>
            <w:r w:rsidRPr="009A39DD">
              <w:rPr>
                <w:rFonts w:cs="Arial"/>
                <w:b/>
                <w:bCs/>
                <w:sz w:val="18"/>
                <w:szCs w:val="18"/>
              </w:rPr>
              <w:t>Takhzyro</w:t>
            </w:r>
          </w:p>
        </w:tc>
        <w:tc>
          <w:tcPr>
            <w:tcW w:w="1296" w:type="dxa"/>
          </w:tcPr>
          <w:p w14:paraId="4C58E634" w14:textId="0E36ED3F" w:rsidR="00BB6482" w:rsidRPr="009A39DD" w:rsidRDefault="00BB6482" w:rsidP="00635763">
            <w:pPr>
              <w:pStyle w:val="NoSpacing"/>
              <w:jc w:val="center"/>
              <w:rPr>
                <w:rFonts w:cs="Arial"/>
                <w:b/>
                <w:bCs/>
                <w:sz w:val="18"/>
                <w:szCs w:val="18"/>
              </w:rPr>
            </w:pPr>
            <w:r w:rsidRPr="009A39DD">
              <w:rPr>
                <w:rFonts w:cs="Arial"/>
                <w:b/>
                <w:bCs/>
                <w:sz w:val="18"/>
                <w:szCs w:val="18"/>
              </w:rPr>
              <w:t>Haegarda</w:t>
            </w:r>
          </w:p>
        </w:tc>
        <w:tc>
          <w:tcPr>
            <w:tcW w:w="1296" w:type="dxa"/>
          </w:tcPr>
          <w:p w14:paraId="09844684" w14:textId="77483D7F" w:rsidR="00BB6482" w:rsidRPr="009A39DD" w:rsidRDefault="00BB6482" w:rsidP="00635763">
            <w:pPr>
              <w:pStyle w:val="NoSpacing"/>
              <w:jc w:val="center"/>
              <w:rPr>
                <w:rFonts w:cs="Arial"/>
                <w:b/>
                <w:bCs/>
                <w:sz w:val="18"/>
                <w:szCs w:val="18"/>
              </w:rPr>
            </w:pPr>
            <w:r w:rsidRPr="009A39DD">
              <w:rPr>
                <w:rFonts w:cs="Arial"/>
                <w:b/>
                <w:bCs/>
                <w:sz w:val="18"/>
                <w:szCs w:val="18"/>
              </w:rPr>
              <w:t>Cinryze</w:t>
            </w:r>
          </w:p>
        </w:tc>
      </w:tr>
      <w:tr w:rsidR="00BB6482" w:rsidRPr="00BB6482" w14:paraId="29BDFF7F" w14:textId="77777777" w:rsidTr="00635763">
        <w:trPr>
          <w:trHeight w:val="300"/>
          <w:jc w:val="center"/>
        </w:trPr>
        <w:tc>
          <w:tcPr>
            <w:tcW w:w="1435" w:type="dxa"/>
          </w:tcPr>
          <w:p w14:paraId="2136A3D6" w14:textId="77777777" w:rsidR="00BB6482" w:rsidRPr="00BB6482" w:rsidRDefault="00BB6482" w:rsidP="0053682B">
            <w:pPr>
              <w:pStyle w:val="NoSpacing"/>
              <w:rPr>
                <w:rFonts w:cs="Arial"/>
                <w:sz w:val="18"/>
                <w:szCs w:val="18"/>
              </w:rPr>
            </w:pPr>
            <w:r w:rsidRPr="00BB6482">
              <w:rPr>
                <w:rFonts w:cs="Arial"/>
                <w:sz w:val="18"/>
                <w:szCs w:val="18"/>
              </w:rPr>
              <w:t>Mechanism</w:t>
            </w:r>
          </w:p>
        </w:tc>
        <w:tc>
          <w:tcPr>
            <w:tcW w:w="1440" w:type="dxa"/>
          </w:tcPr>
          <w:p w14:paraId="483806C8" w14:textId="47F2A52A" w:rsidR="00BB6482" w:rsidRPr="00BB6482" w:rsidRDefault="00BB6482" w:rsidP="00635763">
            <w:pPr>
              <w:pStyle w:val="NoSpacing"/>
              <w:jc w:val="center"/>
              <w:rPr>
                <w:rFonts w:cs="Arial"/>
                <w:sz w:val="18"/>
                <w:szCs w:val="18"/>
              </w:rPr>
            </w:pPr>
            <w:r w:rsidRPr="00BB6482">
              <w:rPr>
                <w:rFonts w:cs="Arial"/>
                <w:sz w:val="18"/>
                <w:szCs w:val="18"/>
              </w:rPr>
              <w:t>PK</w:t>
            </w:r>
            <w:r w:rsidR="00A25414">
              <w:rPr>
                <w:rFonts w:cs="Arial"/>
                <w:sz w:val="18"/>
                <w:szCs w:val="18"/>
              </w:rPr>
              <w:t>K</w:t>
            </w:r>
            <w:r w:rsidRPr="00BB6482">
              <w:rPr>
                <w:rFonts w:cs="Arial"/>
                <w:sz w:val="18"/>
                <w:szCs w:val="18"/>
              </w:rPr>
              <w:t>-directed antisense oligonucleotide</w:t>
            </w:r>
          </w:p>
        </w:tc>
        <w:tc>
          <w:tcPr>
            <w:tcW w:w="1296" w:type="dxa"/>
          </w:tcPr>
          <w:p w14:paraId="28690FC8" w14:textId="77777777" w:rsidR="00BB6482" w:rsidRPr="00BB6482" w:rsidRDefault="00BB6482" w:rsidP="00635763">
            <w:pPr>
              <w:pStyle w:val="NoSpacing"/>
              <w:jc w:val="center"/>
              <w:rPr>
                <w:rFonts w:cs="Arial"/>
                <w:sz w:val="18"/>
                <w:szCs w:val="18"/>
              </w:rPr>
            </w:pPr>
            <w:r w:rsidRPr="00BB6482">
              <w:rPr>
                <w:rFonts w:eastAsia="Roboto" w:cs="Arial"/>
                <w:sz w:val="18"/>
                <w:szCs w:val="18"/>
              </w:rPr>
              <w:t>FXIIa (activated factor XII)</w:t>
            </w:r>
            <w:r w:rsidRPr="00BB6482">
              <w:rPr>
                <w:rFonts w:cs="Arial"/>
                <w:sz w:val="18"/>
                <w:szCs w:val="18"/>
              </w:rPr>
              <w:t xml:space="preserve"> inhibitor</w:t>
            </w:r>
          </w:p>
        </w:tc>
        <w:tc>
          <w:tcPr>
            <w:tcW w:w="1296" w:type="dxa"/>
          </w:tcPr>
          <w:p w14:paraId="618F3F6D" w14:textId="22B6D155" w:rsidR="00BB6482" w:rsidRPr="00BB6482" w:rsidRDefault="00BB6482" w:rsidP="00635763">
            <w:pPr>
              <w:pStyle w:val="NoSpacing"/>
              <w:jc w:val="center"/>
              <w:rPr>
                <w:rFonts w:cs="Arial"/>
                <w:sz w:val="18"/>
                <w:szCs w:val="18"/>
              </w:rPr>
            </w:pPr>
            <w:r w:rsidRPr="00BB6482">
              <w:rPr>
                <w:rFonts w:cs="Arial"/>
                <w:sz w:val="18"/>
                <w:szCs w:val="18"/>
              </w:rPr>
              <w:t>PKa inhibitor</w:t>
            </w:r>
          </w:p>
        </w:tc>
        <w:tc>
          <w:tcPr>
            <w:tcW w:w="1296" w:type="dxa"/>
          </w:tcPr>
          <w:p w14:paraId="4F811549" w14:textId="49C06203" w:rsidR="00BB6482" w:rsidRPr="00BB6482" w:rsidRDefault="00BB6482" w:rsidP="00635763">
            <w:pPr>
              <w:pStyle w:val="NoSpacing"/>
              <w:jc w:val="center"/>
              <w:rPr>
                <w:rFonts w:cs="Arial"/>
                <w:sz w:val="18"/>
                <w:szCs w:val="18"/>
              </w:rPr>
            </w:pPr>
            <w:r w:rsidRPr="00BB6482">
              <w:rPr>
                <w:rFonts w:cs="Arial"/>
                <w:sz w:val="18"/>
                <w:szCs w:val="18"/>
              </w:rPr>
              <w:t>PKa inhibitor</w:t>
            </w:r>
          </w:p>
        </w:tc>
        <w:tc>
          <w:tcPr>
            <w:tcW w:w="1296" w:type="dxa"/>
          </w:tcPr>
          <w:p w14:paraId="261A5F72" w14:textId="5F49EA4E" w:rsidR="00BB6482" w:rsidRPr="00BB6482" w:rsidRDefault="003B066D" w:rsidP="00635763">
            <w:pPr>
              <w:pStyle w:val="NoSpacing"/>
              <w:jc w:val="center"/>
              <w:rPr>
                <w:rFonts w:cs="Arial"/>
                <w:sz w:val="18"/>
                <w:szCs w:val="18"/>
              </w:rPr>
            </w:pPr>
            <w:r>
              <w:rPr>
                <w:rFonts w:eastAsia="Roboto" w:cs="Arial"/>
                <w:sz w:val="18"/>
                <w:szCs w:val="18"/>
              </w:rPr>
              <w:t>C</w:t>
            </w:r>
            <w:r w:rsidR="00BB6482" w:rsidRPr="00BB6482">
              <w:rPr>
                <w:rFonts w:eastAsia="Roboto" w:cs="Arial"/>
                <w:sz w:val="18"/>
                <w:szCs w:val="18"/>
              </w:rPr>
              <w:t>1 esterase inhibitor</w:t>
            </w:r>
          </w:p>
        </w:tc>
        <w:tc>
          <w:tcPr>
            <w:tcW w:w="1296" w:type="dxa"/>
          </w:tcPr>
          <w:p w14:paraId="5CCC6EA8" w14:textId="0670C50C" w:rsidR="00BB6482" w:rsidRPr="00BB6482" w:rsidRDefault="003B066D" w:rsidP="00635763">
            <w:pPr>
              <w:pStyle w:val="NoSpacing"/>
              <w:jc w:val="center"/>
              <w:rPr>
                <w:rFonts w:cs="Arial"/>
                <w:sz w:val="18"/>
                <w:szCs w:val="18"/>
              </w:rPr>
            </w:pPr>
            <w:r>
              <w:rPr>
                <w:rFonts w:eastAsia="Roboto" w:cs="Arial"/>
                <w:sz w:val="18"/>
                <w:szCs w:val="18"/>
              </w:rPr>
              <w:t>C</w:t>
            </w:r>
            <w:r w:rsidR="00BB6482" w:rsidRPr="00BB6482">
              <w:rPr>
                <w:rFonts w:eastAsia="Roboto" w:cs="Arial"/>
                <w:sz w:val="18"/>
                <w:szCs w:val="18"/>
              </w:rPr>
              <w:t>1 esterase inhibitor</w:t>
            </w:r>
          </w:p>
        </w:tc>
      </w:tr>
      <w:tr w:rsidR="00550A68" w:rsidRPr="00BB6482" w14:paraId="1AEF518B" w14:textId="77777777" w:rsidTr="00635763">
        <w:trPr>
          <w:trHeight w:val="300"/>
          <w:jc w:val="center"/>
        </w:trPr>
        <w:tc>
          <w:tcPr>
            <w:tcW w:w="1435" w:type="dxa"/>
            <w:vAlign w:val="center"/>
          </w:tcPr>
          <w:p w14:paraId="7A0B4A5B" w14:textId="4EE50FDD" w:rsidR="00550A68" w:rsidRPr="00BB6482" w:rsidRDefault="00550A68" w:rsidP="00550A68">
            <w:pPr>
              <w:pStyle w:val="NoSpacing"/>
              <w:jc w:val="center"/>
              <w:rPr>
                <w:rFonts w:cs="Arial"/>
                <w:sz w:val="18"/>
                <w:szCs w:val="18"/>
              </w:rPr>
            </w:pPr>
            <w:r>
              <w:rPr>
                <w:rFonts w:cs="Arial"/>
                <w:sz w:val="18"/>
                <w:szCs w:val="18"/>
              </w:rPr>
              <w:t>Loading dose</w:t>
            </w:r>
          </w:p>
        </w:tc>
        <w:tc>
          <w:tcPr>
            <w:tcW w:w="1440" w:type="dxa"/>
            <w:vAlign w:val="center"/>
          </w:tcPr>
          <w:p w14:paraId="1E308E68" w14:textId="0E57E717" w:rsidR="00550A68" w:rsidRPr="00BB6482" w:rsidRDefault="00550A68" w:rsidP="00550A68">
            <w:pPr>
              <w:pStyle w:val="NoSpacing"/>
              <w:jc w:val="center"/>
              <w:rPr>
                <w:rFonts w:cs="Arial"/>
                <w:sz w:val="18"/>
                <w:szCs w:val="18"/>
              </w:rPr>
            </w:pPr>
            <w:r>
              <w:rPr>
                <w:rFonts w:cs="Arial"/>
                <w:sz w:val="18"/>
                <w:szCs w:val="18"/>
              </w:rPr>
              <w:t>No</w:t>
            </w:r>
          </w:p>
        </w:tc>
        <w:tc>
          <w:tcPr>
            <w:tcW w:w="1296" w:type="dxa"/>
            <w:vAlign w:val="center"/>
          </w:tcPr>
          <w:p w14:paraId="47D3DD4F" w14:textId="7483A7C3" w:rsidR="00550A68" w:rsidRPr="00BB6482" w:rsidRDefault="005F44D8" w:rsidP="00550A68">
            <w:pPr>
              <w:pStyle w:val="NoSpacing"/>
              <w:jc w:val="center"/>
              <w:rPr>
                <w:rFonts w:eastAsia="Roboto" w:cs="Arial"/>
                <w:sz w:val="18"/>
                <w:szCs w:val="18"/>
              </w:rPr>
            </w:pPr>
            <w:r>
              <w:rPr>
                <w:rFonts w:eastAsia="Roboto" w:cs="Arial"/>
                <w:sz w:val="18"/>
                <w:szCs w:val="18"/>
              </w:rPr>
              <w:t>Yes</w:t>
            </w:r>
          </w:p>
        </w:tc>
        <w:tc>
          <w:tcPr>
            <w:tcW w:w="1296" w:type="dxa"/>
            <w:vAlign w:val="center"/>
          </w:tcPr>
          <w:p w14:paraId="25DDFC03" w14:textId="6AE49018" w:rsidR="00550A68" w:rsidRPr="00BB6482" w:rsidRDefault="00F73D61" w:rsidP="00550A68">
            <w:pPr>
              <w:pStyle w:val="NoSpacing"/>
              <w:jc w:val="center"/>
              <w:rPr>
                <w:rFonts w:cs="Arial"/>
                <w:sz w:val="18"/>
                <w:szCs w:val="18"/>
              </w:rPr>
            </w:pPr>
            <w:r>
              <w:rPr>
                <w:rFonts w:cs="Arial"/>
                <w:sz w:val="18"/>
                <w:szCs w:val="18"/>
              </w:rPr>
              <w:t>No</w:t>
            </w:r>
          </w:p>
        </w:tc>
        <w:tc>
          <w:tcPr>
            <w:tcW w:w="1296" w:type="dxa"/>
            <w:vAlign w:val="center"/>
          </w:tcPr>
          <w:p w14:paraId="5019D089" w14:textId="2AA8B640" w:rsidR="00550A68" w:rsidRPr="00BB6482" w:rsidRDefault="00F73D61" w:rsidP="00550A68">
            <w:pPr>
              <w:pStyle w:val="NoSpacing"/>
              <w:jc w:val="center"/>
              <w:rPr>
                <w:rFonts w:cs="Arial"/>
                <w:sz w:val="18"/>
                <w:szCs w:val="18"/>
              </w:rPr>
            </w:pPr>
            <w:r>
              <w:rPr>
                <w:rFonts w:cs="Arial"/>
                <w:sz w:val="18"/>
                <w:szCs w:val="18"/>
              </w:rPr>
              <w:t>No</w:t>
            </w:r>
          </w:p>
        </w:tc>
        <w:tc>
          <w:tcPr>
            <w:tcW w:w="1296" w:type="dxa"/>
            <w:vAlign w:val="center"/>
          </w:tcPr>
          <w:p w14:paraId="0962029F" w14:textId="1937AC0E" w:rsidR="00550A68" w:rsidRPr="00BB6482" w:rsidRDefault="00F73D61" w:rsidP="00550A68">
            <w:pPr>
              <w:pStyle w:val="NoSpacing"/>
              <w:jc w:val="center"/>
              <w:rPr>
                <w:rFonts w:eastAsia="Roboto" w:cs="Arial"/>
                <w:sz w:val="18"/>
                <w:szCs w:val="18"/>
              </w:rPr>
            </w:pPr>
            <w:r>
              <w:rPr>
                <w:rFonts w:eastAsia="Roboto" w:cs="Arial"/>
                <w:sz w:val="18"/>
                <w:szCs w:val="18"/>
              </w:rPr>
              <w:t>No</w:t>
            </w:r>
          </w:p>
        </w:tc>
        <w:tc>
          <w:tcPr>
            <w:tcW w:w="1296" w:type="dxa"/>
            <w:vAlign w:val="center"/>
          </w:tcPr>
          <w:p w14:paraId="100B41FD" w14:textId="5CAA8BEA" w:rsidR="00550A68" w:rsidRPr="00BB6482" w:rsidRDefault="00F73D61" w:rsidP="00550A68">
            <w:pPr>
              <w:pStyle w:val="NoSpacing"/>
              <w:jc w:val="center"/>
              <w:rPr>
                <w:rFonts w:eastAsia="Roboto" w:cs="Arial"/>
                <w:sz w:val="18"/>
                <w:szCs w:val="18"/>
              </w:rPr>
            </w:pPr>
            <w:r>
              <w:rPr>
                <w:rFonts w:eastAsia="Roboto" w:cs="Arial"/>
                <w:sz w:val="18"/>
                <w:szCs w:val="18"/>
              </w:rPr>
              <w:t>No</w:t>
            </w:r>
          </w:p>
        </w:tc>
      </w:tr>
      <w:tr w:rsidR="00BB6482" w:rsidRPr="00BB6482" w14:paraId="437BC2FE" w14:textId="77777777" w:rsidTr="00635763">
        <w:trPr>
          <w:trHeight w:val="300"/>
          <w:jc w:val="center"/>
        </w:trPr>
        <w:tc>
          <w:tcPr>
            <w:tcW w:w="1435" w:type="dxa"/>
            <w:vAlign w:val="center"/>
          </w:tcPr>
          <w:p w14:paraId="78FF6427" w14:textId="77777777" w:rsidR="00BB6482" w:rsidRPr="00BB6482" w:rsidRDefault="00BB6482" w:rsidP="00550A68">
            <w:pPr>
              <w:pStyle w:val="NoSpacing"/>
              <w:jc w:val="center"/>
              <w:rPr>
                <w:rFonts w:cs="Arial"/>
                <w:sz w:val="18"/>
                <w:szCs w:val="18"/>
              </w:rPr>
            </w:pPr>
            <w:r w:rsidRPr="00BB6482">
              <w:rPr>
                <w:rFonts w:cs="Arial"/>
                <w:sz w:val="18"/>
                <w:szCs w:val="18"/>
              </w:rPr>
              <w:t>Route of admin</w:t>
            </w:r>
          </w:p>
        </w:tc>
        <w:tc>
          <w:tcPr>
            <w:tcW w:w="1440" w:type="dxa"/>
            <w:vAlign w:val="center"/>
          </w:tcPr>
          <w:p w14:paraId="78B23522" w14:textId="77777777" w:rsidR="00BB6482" w:rsidRPr="00BB6482" w:rsidRDefault="00BB6482" w:rsidP="00550A68">
            <w:pPr>
              <w:pStyle w:val="NoSpacing"/>
              <w:jc w:val="center"/>
              <w:rPr>
                <w:rFonts w:cs="Arial"/>
                <w:sz w:val="18"/>
                <w:szCs w:val="18"/>
              </w:rPr>
            </w:pPr>
            <w:r w:rsidRPr="00BB6482">
              <w:rPr>
                <w:rFonts w:cs="Arial"/>
                <w:sz w:val="18"/>
                <w:szCs w:val="18"/>
              </w:rPr>
              <w:t>SC</w:t>
            </w:r>
          </w:p>
        </w:tc>
        <w:tc>
          <w:tcPr>
            <w:tcW w:w="1296" w:type="dxa"/>
            <w:vAlign w:val="center"/>
          </w:tcPr>
          <w:p w14:paraId="67AD5B0D" w14:textId="77777777" w:rsidR="00BB6482" w:rsidRPr="00BB6482" w:rsidRDefault="00BB6482" w:rsidP="00550A68">
            <w:pPr>
              <w:pStyle w:val="NoSpacing"/>
              <w:jc w:val="center"/>
              <w:rPr>
                <w:rFonts w:cs="Arial"/>
                <w:sz w:val="18"/>
                <w:szCs w:val="18"/>
              </w:rPr>
            </w:pPr>
            <w:r w:rsidRPr="00BB6482">
              <w:rPr>
                <w:rFonts w:cs="Arial"/>
                <w:sz w:val="18"/>
                <w:szCs w:val="18"/>
              </w:rPr>
              <w:t>SC</w:t>
            </w:r>
          </w:p>
        </w:tc>
        <w:tc>
          <w:tcPr>
            <w:tcW w:w="1296" w:type="dxa"/>
            <w:vAlign w:val="center"/>
          </w:tcPr>
          <w:p w14:paraId="008AEBC0" w14:textId="77777777" w:rsidR="00BB6482" w:rsidRPr="00BB6482" w:rsidRDefault="00BB6482" w:rsidP="00550A68">
            <w:pPr>
              <w:pStyle w:val="NoSpacing"/>
              <w:jc w:val="center"/>
              <w:rPr>
                <w:rFonts w:cs="Arial"/>
                <w:sz w:val="18"/>
                <w:szCs w:val="18"/>
              </w:rPr>
            </w:pPr>
            <w:r w:rsidRPr="00BB6482">
              <w:rPr>
                <w:rFonts w:cs="Arial"/>
                <w:sz w:val="18"/>
                <w:szCs w:val="18"/>
              </w:rPr>
              <w:t>Oral</w:t>
            </w:r>
          </w:p>
        </w:tc>
        <w:tc>
          <w:tcPr>
            <w:tcW w:w="1296" w:type="dxa"/>
            <w:vAlign w:val="center"/>
          </w:tcPr>
          <w:p w14:paraId="6C82D90C" w14:textId="77777777" w:rsidR="00BB6482" w:rsidRPr="00BB6482" w:rsidRDefault="00BB6482" w:rsidP="00550A68">
            <w:pPr>
              <w:pStyle w:val="NoSpacing"/>
              <w:jc w:val="center"/>
              <w:rPr>
                <w:rFonts w:cs="Arial"/>
                <w:sz w:val="18"/>
                <w:szCs w:val="18"/>
              </w:rPr>
            </w:pPr>
            <w:r w:rsidRPr="00BB6482">
              <w:rPr>
                <w:rFonts w:cs="Arial"/>
                <w:sz w:val="18"/>
                <w:szCs w:val="18"/>
              </w:rPr>
              <w:t>SC</w:t>
            </w:r>
          </w:p>
        </w:tc>
        <w:tc>
          <w:tcPr>
            <w:tcW w:w="1296" w:type="dxa"/>
            <w:vAlign w:val="center"/>
          </w:tcPr>
          <w:p w14:paraId="72CD9951" w14:textId="77777777" w:rsidR="00BB6482" w:rsidRPr="00BB6482" w:rsidRDefault="00BB6482" w:rsidP="00550A68">
            <w:pPr>
              <w:pStyle w:val="NoSpacing"/>
              <w:jc w:val="center"/>
              <w:rPr>
                <w:rFonts w:cs="Arial"/>
                <w:sz w:val="18"/>
                <w:szCs w:val="18"/>
              </w:rPr>
            </w:pPr>
            <w:r w:rsidRPr="00BB6482">
              <w:rPr>
                <w:rFonts w:cs="Arial"/>
                <w:sz w:val="18"/>
                <w:szCs w:val="18"/>
              </w:rPr>
              <w:t>SC</w:t>
            </w:r>
          </w:p>
        </w:tc>
        <w:tc>
          <w:tcPr>
            <w:tcW w:w="1296" w:type="dxa"/>
            <w:vAlign w:val="center"/>
          </w:tcPr>
          <w:p w14:paraId="547FBCD3" w14:textId="77777777" w:rsidR="00BB6482" w:rsidRPr="00BB6482" w:rsidRDefault="00BB6482" w:rsidP="00550A68">
            <w:pPr>
              <w:pStyle w:val="NoSpacing"/>
              <w:jc w:val="center"/>
              <w:rPr>
                <w:rFonts w:cs="Arial"/>
                <w:sz w:val="18"/>
                <w:szCs w:val="18"/>
              </w:rPr>
            </w:pPr>
            <w:r w:rsidRPr="00BB6482">
              <w:rPr>
                <w:rFonts w:cs="Arial"/>
                <w:sz w:val="18"/>
                <w:szCs w:val="18"/>
              </w:rPr>
              <w:t>IV</w:t>
            </w:r>
          </w:p>
        </w:tc>
      </w:tr>
      <w:tr w:rsidR="00BB6482" w:rsidRPr="00BB6482" w14:paraId="3F9DF69E" w14:textId="77777777" w:rsidTr="00635763">
        <w:trPr>
          <w:trHeight w:val="300"/>
          <w:jc w:val="center"/>
        </w:trPr>
        <w:tc>
          <w:tcPr>
            <w:tcW w:w="1435" w:type="dxa"/>
            <w:vAlign w:val="center"/>
          </w:tcPr>
          <w:p w14:paraId="7DF46A07" w14:textId="77777777" w:rsidR="00BB6482" w:rsidRPr="00BB6482" w:rsidRDefault="00BB6482" w:rsidP="00550A68">
            <w:pPr>
              <w:pStyle w:val="NoSpacing"/>
              <w:jc w:val="center"/>
              <w:rPr>
                <w:rFonts w:cs="Arial"/>
                <w:sz w:val="18"/>
                <w:szCs w:val="18"/>
              </w:rPr>
            </w:pPr>
            <w:r w:rsidRPr="00BB6482">
              <w:rPr>
                <w:rFonts w:cs="Arial"/>
                <w:sz w:val="18"/>
                <w:szCs w:val="18"/>
              </w:rPr>
              <w:t>Dosing frequency</w:t>
            </w:r>
          </w:p>
        </w:tc>
        <w:tc>
          <w:tcPr>
            <w:tcW w:w="1440" w:type="dxa"/>
            <w:vAlign w:val="center"/>
          </w:tcPr>
          <w:p w14:paraId="249493FE" w14:textId="77777777" w:rsidR="00BB6482" w:rsidRPr="00BB6482" w:rsidRDefault="00BB6482" w:rsidP="00550A68">
            <w:pPr>
              <w:pStyle w:val="NoSpacing"/>
              <w:jc w:val="center"/>
              <w:rPr>
                <w:rFonts w:cs="Arial"/>
                <w:sz w:val="18"/>
                <w:szCs w:val="18"/>
              </w:rPr>
            </w:pPr>
            <w:r w:rsidRPr="00BB6482">
              <w:rPr>
                <w:rFonts w:cs="Arial"/>
                <w:sz w:val="18"/>
                <w:szCs w:val="18"/>
              </w:rPr>
              <w:t>Q4W or Q8W</w:t>
            </w:r>
          </w:p>
        </w:tc>
        <w:tc>
          <w:tcPr>
            <w:tcW w:w="1296" w:type="dxa"/>
            <w:vAlign w:val="center"/>
          </w:tcPr>
          <w:p w14:paraId="72FE3E14" w14:textId="77777777" w:rsidR="00BB6482" w:rsidRPr="00BB6482" w:rsidRDefault="00BB6482" w:rsidP="00550A68">
            <w:pPr>
              <w:pStyle w:val="NoSpacing"/>
              <w:jc w:val="center"/>
              <w:rPr>
                <w:rFonts w:cs="Arial"/>
                <w:sz w:val="18"/>
                <w:szCs w:val="18"/>
              </w:rPr>
            </w:pPr>
            <w:r w:rsidRPr="00BB6482">
              <w:rPr>
                <w:rFonts w:cs="Arial"/>
                <w:sz w:val="18"/>
                <w:szCs w:val="18"/>
              </w:rPr>
              <w:t>Once monthly</w:t>
            </w:r>
          </w:p>
        </w:tc>
        <w:tc>
          <w:tcPr>
            <w:tcW w:w="1296" w:type="dxa"/>
            <w:vAlign w:val="center"/>
          </w:tcPr>
          <w:p w14:paraId="1EA0780F" w14:textId="77777777" w:rsidR="00BB6482" w:rsidRPr="00BB6482" w:rsidRDefault="00BB6482" w:rsidP="00550A68">
            <w:pPr>
              <w:pStyle w:val="NoSpacing"/>
              <w:jc w:val="center"/>
              <w:rPr>
                <w:rFonts w:cs="Arial"/>
                <w:sz w:val="18"/>
                <w:szCs w:val="18"/>
              </w:rPr>
            </w:pPr>
            <w:r w:rsidRPr="00BB6482">
              <w:rPr>
                <w:rFonts w:cs="Arial"/>
                <w:sz w:val="18"/>
                <w:szCs w:val="18"/>
              </w:rPr>
              <w:t>Once daily</w:t>
            </w:r>
          </w:p>
        </w:tc>
        <w:tc>
          <w:tcPr>
            <w:tcW w:w="1296" w:type="dxa"/>
            <w:vAlign w:val="center"/>
          </w:tcPr>
          <w:p w14:paraId="0D2A956B" w14:textId="77777777" w:rsidR="00BB6482" w:rsidRPr="00BB6482" w:rsidRDefault="00BB6482" w:rsidP="00550A68">
            <w:pPr>
              <w:pStyle w:val="NoSpacing"/>
              <w:jc w:val="center"/>
              <w:rPr>
                <w:rFonts w:cs="Arial"/>
                <w:sz w:val="18"/>
                <w:szCs w:val="18"/>
              </w:rPr>
            </w:pPr>
            <w:r w:rsidRPr="00BB6482">
              <w:rPr>
                <w:rFonts w:cs="Arial"/>
                <w:sz w:val="18"/>
                <w:szCs w:val="18"/>
              </w:rPr>
              <w:t>Q2W</w:t>
            </w:r>
          </w:p>
        </w:tc>
        <w:tc>
          <w:tcPr>
            <w:tcW w:w="1296" w:type="dxa"/>
            <w:vAlign w:val="center"/>
          </w:tcPr>
          <w:p w14:paraId="35B2E5AA" w14:textId="77777777" w:rsidR="00BB6482" w:rsidRPr="00BB6482" w:rsidRDefault="00BB6482" w:rsidP="00550A68">
            <w:pPr>
              <w:pStyle w:val="NoSpacing"/>
              <w:jc w:val="center"/>
              <w:rPr>
                <w:rFonts w:cs="Arial"/>
                <w:sz w:val="18"/>
                <w:szCs w:val="18"/>
              </w:rPr>
            </w:pPr>
            <w:r w:rsidRPr="00BB6482">
              <w:rPr>
                <w:rFonts w:cs="Arial"/>
                <w:sz w:val="18"/>
                <w:szCs w:val="18"/>
              </w:rPr>
              <w:t>Twice weekly</w:t>
            </w:r>
          </w:p>
        </w:tc>
        <w:tc>
          <w:tcPr>
            <w:tcW w:w="1296" w:type="dxa"/>
            <w:vAlign w:val="center"/>
          </w:tcPr>
          <w:p w14:paraId="2B2182A6" w14:textId="77777777" w:rsidR="00BB6482" w:rsidRPr="00BB6482" w:rsidRDefault="00BB6482" w:rsidP="00550A68">
            <w:pPr>
              <w:pStyle w:val="NoSpacing"/>
              <w:jc w:val="center"/>
              <w:rPr>
                <w:rFonts w:cs="Arial"/>
                <w:sz w:val="18"/>
                <w:szCs w:val="18"/>
              </w:rPr>
            </w:pPr>
            <w:r w:rsidRPr="00BB6482">
              <w:rPr>
                <w:rFonts w:cs="Arial"/>
                <w:sz w:val="18"/>
                <w:szCs w:val="18"/>
              </w:rPr>
              <w:t>Twice weekly</w:t>
            </w:r>
          </w:p>
        </w:tc>
      </w:tr>
      <w:tr w:rsidR="00BB6482" w:rsidRPr="00BB6482" w14:paraId="3CDADE43" w14:textId="77777777" w:rsidTr="00635763">
        <w:trPr>
          <w:trHeight w:val="300"/>
          <w:jc w:val="center"/>
        </w:trPr>
        <w:tc>
          <w:tcPr>
            <w:tcW w:w="1435" w:type="dxa"/>
            <w:vAlign w:val="center"/>
          </w:tcPr>
          <w:p w14:paraId="2A0ADCD9" w14:textId="77777777" w:rsidR="00BB6482" w:rsidRPr="00BB6482" w:rsidRDefault="00BB6482" w:rsidP="00550A68">
            <w:pPr>
              <w:pStyle w:val="NoSpacing"/>
              <w:jc w:val="center"/>
              <w:rPr>
                <w:rFonts w:cs="Arial"/>
                <w:sz w:val="18"/>
                <w:szCs w:val="18"/>
              </w:rPr>
            </w:pPr>
            <w:r w:rsidRPr="00BB6482">
              <w:rPr>
                <w:rFonts w:cs="Arial"/>
                <w:sz w:val="18"/>
                <w:szCs w:val="18"/>
              </w:rPr>
              <w:t>Reduction in monthly attack rate vs placebo</w:t>
            </w:r>
          </w:p>
        </w:tc>
        <w:tc>
          <w:tcPr>
            <w:tcW w:w="1440" w:type="dxa"/>
            <w:vAlign w:val="center"/>
          </w:tcPr>
          <w:p w14:paraId="7DC73550" w14:textId="77777777" w:rsidR="00BB6482" w:rsidRPr="00BB6482" w:rsidRDefault="00BB6482" w:rsidP="00550A68">
            <w:pPr>
              <w:pStyle w:val="NoSpacing"/>
              <w:jc w:val="center"/>
              <w:rPr>
                <w:rFonts w:cs="Arial"/>
                <w:sz w:val="18"/>
                <w:szCs w:val="18"/>
              </w:rPr>
            </w:pPr>
            <w:r w:rsidRPr="00BB6482">
              <w:rPr>
                <w:rFonts w:cs="Arial"/>
                <w:sz w:val="18"/>
                <w:szCs w:val="18"/>
              </w:rPr>
              <w:t>81%</w:t>
            </w:r>
          </w:p>
        </w:tc>
        <w:tc>
          <w:tcPr>
            <w:tcW w:w="1296" w:type="dxa"/>
            <w:vAlign w:val="center"/>
          </w:tcPr>
          <w:p w14:paraId="5E553F03" w14:textId="77777777" w:rsidR="00BB6482" w:rsidRPr="00BB6482" w:rsidRDefault="00BB6482" w:rsidP="00550A68">
            <w:pPr>
              <w:pStyle w:val="NoSpacing"/>
              <w:jc w:val="center"/>
              <w:rPr>
                <w:rFonts w:cs="Arial"/>
                <w:sz w:val="18"/>
                <w:szCs w:val="18"/>
              </w:rPr>
            </w:pPr>
            <w:r w:rsidRPr="00BB6482">
              <w:rPr>
                <w:rFonts w:cs="Arial"/>
                <w:sz w:val="18"/>
                <w:szCs w:val="18"/>
              </w:rPr>
              <w:t>89%</w:t>
            </w:r>
          </w:p>
        </w:tc>
        <w:tc>
          <w:tcPr>
            <w:tcW w:w="1296" w:type="dxa"/>
            <w:vAlign w:val="center"/>
          </w:tcPr>
          <w:p w14:paraId="075F4729" w14:textId="77777777" w:rsidR="00BB6482" w:rsidRPr="00BB6482" w:rsidRDefault="00BB6482" w:rsidP="00550A68">
            <w:pPr>
              <w:pStyle w:val="NoSpacing"/>
              <w:jc w:val="center"/>
              <w:rPr>
                <w:rFonts w:cs="Arial"/>
                <w:sz w:val="18"/>
                <w:szCs w:val="18"/>
              </w:rPr>
            </w:pPr>
            <w:r w:rsidRPr="00BB6482">
              <w:rPr>
                <w:rFonts w:cs="Arial"/>
                <w:sz w:val="18"/>
                <w:szCs w:val="18"/>
              </w:rPr>
              <w:t>44%</w:t>
            </w:r>
          </w:p>
        </w:tc>
        <w:tc>
          <w:tcPr>
            <w:tcW w:w="1296" w:type="dxa"/>
            <w:vAlign w:val="center"/>
          </w:tcPr>
          <w:p w14:paraId="6D39A70A" w14:textId="77777777" w:rsidR="00BB6482" w:rsidRPr="00BB6482" w:rsidRDefault="00BB6482" w:rsidP="00550A68">
            <w:pPr>
              <w:pStyle w:val="NoSpacing"/>
              <w:jc w:val="center"/>
              <w:rPr>
                <w:rFonts w:cs="Arial"/>
                <w:sz w:val="18"/>
                <w:szCs w:val="18"/>
              </w:rPr>
            </w:pPr>
            <w:r w:rsidRPr="00BB6482">
              <w:rPr>
                <w:rFonts w:cs="Arial"/>
                <w:sz w:val="18"/>
                <w:szCs w:val="18"/>
              </w:rPr>
              <w:t>87%</w:t>
            </w:r>
          </w:p>
        </w:tc>
        <w:tc>
          <w:tcPr>
            <w:tcW w:w="1296" w:type="dxa"/>
            <w:vAlign w:val="center"/>
          </w:tcPr>
          <w:p w14:paraId="57CA1ED8" w14:textId="77777777" w:rsidR="00BB6482" w:rsidRPr="00BB6482" w:rsidRDefault="00BB6482" w:rsidP="00550A68">
            <w:pPr>
              <w:pStyle w:val="NoSpacing"/>
              <w:jc w:val="center"/>
              <w:rPr>
                <w:rFonts w:cs="Arial"/>
                <w:sz w:val="18"/>
                <w:szCs w:val="18"/>
              </w:rPr>
            </w:pPr>
            <w:r w:rsidRPr="00BB6482">
              <w:rPr>
                <w:rFonts w:cs="Arial"/>
                <w:sz w:val="18"/>
                <w:szCs w:val="18"/>
              </w:rPr>
              <w:t>95%</w:t>
            </w:r>
          </w:p>
        </w:tc>
        <w:tc>
          <w:tcPr>
            <w:tcW w:w="1296" w:type="dxa"/>
            <w:vAlign w:val="center"/>
          </w:tcPr>
          <w:p w14:paraId="000E3A2F" w14:textId="77777777" w:rsidR="00BB6482" w:rsidRPr="00BB6482" w:rsidRDefault="00BB6482" w:rsidP="00550A68">
            <w:pPr>
              <w:pStyle w:val="NoSpacing"/>
              <w:jc w:val="center"/>
              <w:rPr>
                <w:rFonts w:cs="Arial"/>
                <w:sz w:val="18"/>
                <w:szCs w:val="18"/>
              </w:rPr>
            </w:pPr>
            <w:r w:rsidRPr="00BB6482">
              <w:rPr>
                <w:rFonts w:cs="Arial"/>
                <w:sz w:val="18"/>
                <w:szCs w:val="18"/>
              </w:rPr>
              <w:t>85%</w:t>
            </w:r>
          </w:p>
        </w:tc>
      </w:tr>
      <w:tr w:rsidR="00BB6482" w:rsidRPr="00BB6482" w14:paraId="52CCC637" w14:textId="77777777" w:rsidTr="00635763">
        <w:trPr>
          <w:trHeight w:val="300"/>
          <w:jc w:val="center"/>
        </w:trPr>
        <w:tc>
          <w:tcPr>
            <w:tcW w:w="1435" w:type="dxa"/>
            <w:vAlign w:val="center"/>
          </w:tcPr>
          <w:p w14:paraId="338D8B3B" w14:textId="77777777" w:rsidR="00BB6482" w:rsidRPr="00BB6482" w:rsidRDefault="00BB6482" w:rsidP="00550A68">
            <w:pPr>
              <w:pStyle w:val="NoSpacing"/>
              <w:jc w:val="center"/>
              <w:rPr>
                <w:rFonts w:cs="Arial"/>
                <w:sz w:val="18"/>
                <w:szCs w:val="18"/>
              </w:rPr>
            </w:pPr>
            <w:r w:rsidRPr="00BB6482">
              <w:rPr>
                <w:rFonts w:cs="Arial"/>
                <w:sz w:val="18"/>
                <w:szCs w:val="18"/>
              </w:rPr>
              <w:t>Estimated annual WAC</w:t>
            </w:r>
          </w:p>
        </w:tc>
        <w:tc>
          <w:tcPr>
            <w:tcW w:w="1440" w:type="dxa"/>
            <w:vAlign w:val="center"/>
          </w:tcPr>
          <w:p w14:paraId="58232435" w14:textId="77777777" w:rsidR="00BB6482" w:rsidRPr="00BB6482" w:rsidRDefault="00BB6482" w:rsidP="00550A68">
            <w:pPr>
              <w:pStyle w:val="NoSpacing"/>
              <w:jc w:val="center"/>
              <w:rPr>
                <w:rFonts w:cs="Arial"/>
                <w:sz w:val="18"/>
                <w:szCs w:val="18"/>
              </w:rPr>
            </w:pPr>
            <w:r w:rsidRPr="00BB6482">
              <w:rPr>
                <w:rFonts w:cs="Arial"/>
                <w:sz w:val="18"/>
                <w:szCs w:val="18"/>
              </w:rPr>
              <w:t>$747,006</w:t>
            </w:r>
          </w:p>
        </w:tc>
        <w:tc>
          <w:tcPr>
            <w:tcW w:w="1296" w:type="dxa"/>
            <w:vAlign w:val="center"/>
          </w:tcPr>
          <w:p w14:paraId="5730F3EC" w14:textId="77777777" w:rsidR="00BB6482" w:rsidRPr="00BB6482" w:rsidRDefault="00BB6482" w:rsidP="00550A68">
            <w:pPr>
              <w:pStyle w:val="NoSpacing"/>
              <w:jc w:val="center"/>
              <w:rPr>
                <w:rFonts w:cs="Arial"/>
                <w:sz w:val="18"/>
                <w:szCs w:val="18"/>
              </w:rPr>
            </w:pPr>
            <w:r w:rsidRPr="00BB6482">
              <w:rPr>
                <w:rFonts w:cs="Arial"/>
                <w:sz w:val="18"/>
                <w:szCs w:val="18"/>
              </w:rPr>
              <w:t>$685,200</w:t>
            </w:r>
          </w:p>
        </w:tc>
        <w:tc>
          <w:tcPr>
            <w:tcW w:w="1296" w:type="dxa"/>
            <w:vAlign w:val="center"/>
          </w:tcPr>
          <w:p w14:paraId="0C0A8971" w14:textId="77777777" w:rsidR="00BB6482" w:rsidRPr="00BB6482" w:rsidRDefault="00BB6482" w:rsidP="00550A68">
            <w:pPr>
              <w:pStyle w:val="NoSpacing"/>
              <w:jc w:val="center"/>
              <w:rPr>
                <w:rFonts w:cs="Arial"/>
                <w:sz w:val="18"/>
                <w:szCs w:val="18"/>
              </w:rPr>
            </w:pPr>
            <w:r w:rsidRPr="00BB6482">
              <w:rPr>
                <w:rFonts w:cs="Arial"/>
                <w:sz w:val="18"/>
                <w:szCs w:val="18"/>
              </w:rPr>
              <w:t>$579,885</w:t>
            </w:r>
          </w:p>
        </w:tc>
        <w:tc>
          <w:tcPr>
            <w:tcW w:w="1296" w:type="dxa"/>
            <w:vAlign w:val="center"/>
          </w:tcPr>
          <w:p w14:paraId="0B476C53" w14:textId="77777777" w:rsidR="00BB6482" w:rsidRPr="00BB6482" w:rsidRDefault="00BB6482" w:rsidP="00550A68">
            <w:pPr>
              <w:pStyle w:val="NoSpacing"/>
              <w:jc w:val="center"/>
              <w:rPr>
                <w:rFonts w:cs="Arial"/>
                <w:sz w:val="18"/>
                <w:szCs w:val="18"/>
              </w:rPr>
            </w:pPr>
            <w:r w:rsidRPr="00BB6482">
              <w:rPr>
                <w:rFonts w:cs="Arial"/>
                <w:sz w:val="18"/>
                <w:szCs w:val="18"/>
              </w:rPr>
              <w:t>$685,171</w:t>
            </w:r>
          </w:p>
        </w:tc>
        <w:tc>
          <w:tcPr>
            <w:tcW w:w="1296" w:type="dxa"/>
            <w:vAlign w:val="center"/>
          </w:tcPr>
          <w:p w14:paraId="4E136F70" w14:textId="77777777" w:rsidR="00BB6482" w:rsidRPr="00BB6482" w:rsidRDefault="00BB6482" w:rsidP="00550A68">
            <w:pPr>
              <w:pStyle w:val="NoSpacing"/>
              <w:jc w:val="center"/>
              <w:rPr>
                <w:rFonts w:cs="Arial"/>
                <w:sz w:val="18"/>
                <w:szCs w:val="18"/>
              </w:rPr>
            </w:pPr>
            <w:r w:rsidRPr="00BB6482">
              <w:rPr>
                <w:rFonts w:cs="Arial"/>
                <w:sz w:val="18"/>
                <w:szCs w:val="18"/>
              </w:rPr>
              <w:t>$604,152</w:t>
            </w:r>
          </w:p>
        </w:tc>
        <w:tc>
          <w:tcPr>
            <w:tcW w:w="1296" w:type="dxa"/>
            <w:vAlign w:val="center"/>
          </w:tcPr>
          <w:p w14:paraId="5AA6F9DF" w14:textId="77777777" w:rsidR="00BB6482" w:rsidRPr="00BB6482" w:rsidRDefault="00BB6482" w:rsidP="00550A68">
            <w:pPr>
              <w:pStyle w:val="NoSpacing"/>
              <w:jc w:val="center"/>
              <w:rPr>
                <w:rFonts w:cs="Arial"/>
                <w:sz w:val="18"/>
                <w:szCs w:val="18"/>
              </w:rPr>
            </w:pPr>
            <w:r w:rsidRPr="00BB6482">
              <w:rPr>
                <w:rFonts w:cs="Arial"/>
                <w:sz w:val="18"/>
                <w:szCs w:val="18"/>
              </w:rPr>
              <w:t>$665,224</w:t>
            </w:r>
          </w:p>
        </w:tc>
      </w:tr>
    </w:tbl>
    <w:p w14:paraId="430FBA6E" w14:textId="77777777" w:rsidR="003A43A6" w:rsidRPr="002C2C41" w:rsidRDefault="003A43A6" w:rsidP="003A43A6">
      <w:pPr>
        <w:rPr>
          <w:rFonts w:cs="Arial"/>
          <w:szCs w:val="20"/>
        </w:rPr>
      </w:pPr>
    </w:p>
    <w:p w14:paraId="644ADB2B" w14:textId="1D0A5759" w:rsidR="003A43A6" w:rsidRDefault="003A43A6" w:rsidP="00BC46EE">
      <w:pPr>
        <w:pStyle w:val="Style2"/>
      </w:pPr>
      <w:r>
        <w:lastRenderedPageBreak/>
        <w:t>Prior Authorization Approval Criteria</w:t>
      </w:r>
    </w:p>
    <w:p w14:paraId="36889A74" w14:textId="0729166C" w:rsidR="00826013" w:rsidRPr="00BE6011" w:rsidRDefault="00826013" w:rsidP="0022031B">
      <w:pPr>
        <w:spacing w:before="60" w:after="60"/>
        <w:rPr>
          <w:b/>
          <w:bCs/>
          <w:u w:val="single"/>
        </w:rPr>
      </w:pPr>
      <w:r w:rsidRPr="00BE6011">
        <w:rPr>
          <w:b/>
          <w:bCs/>
          <w:u w:val="single"/>
        </w:rPr>
        <w:t>Initial therapy:</w:t>
      </w:r>
    </w:p>
    <w:p w14:paraId="7E8D89EA" w14:textId="28D22C64" w:rsidR="00201C28" w:rsidRDefault="00201C28" w:rsidP="009A39DD">
      <w:pPr>
        <w:pStyle w:val="ListParagraph"/>
      </w:pPr>
      <w:r>
        <w:t>Must meet all of the following:</w:t>
      </w:r>
    </w:p>
    <w:p w14:paraId="77DC113A" w14:textId="732DC59B" w:rsidR="00E237C9" w:rsidRPr="00F9492C" w:rsidRDefault="00E237C9" w:rsidP="00201C28">
      <w:pPr>
        <w:pStyle w:val="ListParagraph"/>
        <w:numPr>
          <w:ilvl w:val="1"/>
          <w:numId w:val="6"/>
        </w:numPr>
      </w:pPr>
      <w:r w:rsidRPr="00F9492C">
        <w:t>Prescribed by or in consultation with a</w:t>
      </w:r>
      <w:r w:rsidR="0057097D">
        <w:t>n immunologist, allergist, or</w:t>
      </w:r>
      <w:r w:rsidRPr="00F9492C">
        <w:t xml:space="preserve"> </w:t>
      </w:r>
      <w:r w:rsidR="00F2019E">
        <w:t>other specialist</w:t>
      </w:r>
      <w:r w:rsidRPr="00F9492C">
        <w:t xml:space="preserve"> in </w:t>
      </w:r>
      <w:r w:rsidR="00F2019E">
        <w:t>the treated disease state</w:t>
      </w:r>
      <w:r w:rsidRPr="00F9492C">
        <w:t>;</w:t>
      </w:r>
    </w:p>
    <w:p w14:paraId="508DC9AB" w14:textId="764DAA33" w:rsidR="00E237C9" w:rsidRPr="00F9492C" w:rsidRDefault="00E237C9" w:rsidP="00201C28">
      <w:pPr>
        <w:pStyle w:val="ListParagraph"/>
        <w:numPr>
          <w:ilvl w:val="1"/>
          <w:numId w:val="6"/>
        </w:numPr>
      </w:pPr>
      <w:r w:rsidRPr="00F9492C">
        <w:t>Participant aged 12 years</w:t>
      </w:r>
      <w:r w:rsidR="00A61DBD">
        <w:t xml:space="preserve"> or older</w:t>
      </w:r>
      <w:r w:rsidRPr="00F9492C">
        <w:t xml:space="preserve">; </w:t>
      </w:r>
    </w:p>
    <w:p w14:paraId="304CEAF0" w14:textId="162B6DF7" w:rsidR="00C50B95" w:rsidRDefault="00C50B95" w:rsidP="00C50B95">
      <w:pPr>
        <w:pStyle w:val="ListParagraph"/>
        <w:numPr>
          <w:ilvl w:val="1"/>
          <w:numId w:val="6"/>
        </w:numPr>
      </w:pPr>
      <w:r w:rsidRPr="00F9492C">
        <w:t xml:space="preserve">Documented diagnosis of </w:t>
      </w:r>
      <w:r>
        <w:t>hereditary angioedema in the last year</w:t>
      </w:r>
      <w:r w:rsidR="009218B8">
        <w:t>;</w:t>
      </w:r>
    </w:p>
    <w:p w14:paraId="11DDC9AA" w14:textId="5AB173B4" w:rsidR="00C50B95" w:rsidRDefault="00C50B95" w:rsidP="00C50B95">
      <w:pPr>
        <w:pStyle w:val="ListParagraph"/>
        <w:numPr>
          <w:ilvl w:val="1"/>
          <w:numId w:val="6"/>
        </w:numPr>
      </w:pPr>
      <w:r>
        <w:t>Documentation of low (&lt; 50% of normal) C1INH antigenic or functional level;</w:t>
      </w:r>
    </w:p>
    <w:p w14:paraId="048E3562" w14:textId="64B0A159" w:rsidR="00C50B95" w:rsidRPr="00F9492C" w:rsidRDefault="00C50B95" w:rsidP="00C50B95">
      <w:pPr>
        <w:pStyle w:val="ListParagraph"/>
        <w:numPr>
          <w:ilvl w:val="1"/>
          <w:numId w:val="6"/>
        </w:numPr>
      </w:pPr>
      <w:r>
        <w:t>Documentation of low C4 level (either at baseline or during an attack);</w:t>
      </w:r>
    </w:p>
    <w:p w14:paraId="145D5813" w14:textId="2294B250" w:rsidR="00E237C9" w:rsidRPr="00F9492C" w:rsidRDefault="00E237C9" w:rsidP="00201C28">
      <w:pPr>
        <w:pStyle w:val="ListParagraph"/>
        <w:numPr>
          <w:ilvl w:val="1"/>
          <w:numId w:val="6"/>
        </w:numPr>
      </w:pPr>
      <w:r w:rsidRPr="00F9492C">
        <w:t xml:space="preserve">Not used in combination with other products indicated for prophylaxis; </w:t>
      </w:r>
    </w:p>
    <w:p w14:paraId="2FB7136B" w14:textId="4D415A5F" w:rsidR="00E237C9" w:rsidRPr="0008558C" w:rsidRDefault="00E237C9" w:rsidP="009A39DD">
      <w:pPr>
        <w:pStyle w:val="ListParagraph"/>
      </w:pPr>
      <w:r w:rsidRPr="0008558C">
        <w:t>Initial approval period: 6 months</w:t>
      </w:r>
    </w:p>
    <w:p w14:paraId="1EFCDD69" w14:textId="77777777" w:rsidR="00826013" w:rsidRDefault="00826013" w:rsidP="0022031B">
      <w:pPr>
        <w:spacing w:before="60" w:after="60"/>
      </w:pPr>
    </w:p>
    <w:p w14:paraId="1412B886" w14:textId="0EA50331" w:rsidR="00826013" w:rsidRPr="00BE6011" w:rsidRDefault="00826013" w:rsidP="0022031B">
      <w:pPr>
        <w:spacing w:before="60" w:after="60"/>
        <w:rPr>
          <w:b/>
          <w:bCs/>
          <w:u w:val="single"/>
        </w:rPr>
      </w:pPr>
      <w:r w:rsidRPr="00BE6011">
        <w:rPr>
          <w:b/>
          <w:bCs/>
          <w:u w:val="single"/>
        </w:rPr>
        <w:t>Continuation of Therapy:</w:t>
      </w:r>
    </w:p>
    <w:p w14:paraId="402ABA6E" w14:textId="77777777" w:rsidR="006D7CA6" w:rsidRPr="0008558C" w:rsidRDefault="006D7CA6" w:rsidP="009A39DD">
      <w:pPr>
        <w:pStyle w:val="ListParagraph"/>
      </w:pPr>
      <w:r w:rsidRPr="0008558C">
        <w:t>Must meet all of the following:</w:t>
      </w:r>
    </w:p>
    <w:p w14:paraId="5BDC67D7" w14:textId="1A43DA3D" w:rsidR="00F9666C" w:rsidRDefault="00F9666C" w:rsidP="009A39DD">
      <w:pPr>
        <w:pStyle w:val="ListParagraph"/>
        <w:numPr>
          <w:ilvl w:val="1"/>
          <w:numId w:val="6"/>
        </w:numPr>
      </w:pPr>
      <w:r>
        <w:t>Documented compliance on current therapy regimen</w:t>
      </w:r>
      <w:r w:rsidR="00E55047">
        <w:t>;</w:t>
      </w:r>
    </w:p>
    <w:p w14:paraId="0D602822" w14:textId="77777777" w:rsidR="00764718" w:rsidRDefault="006826ED" w:rsidP="009A39DD">
      <w:pPr>
        <w:pStyle w:val="ListParagraph"/>
        <w:numPr>
          <w:ilvl w:val="1"/>
          <w:numId w:val="6"/>
        </w:numPr>
      </w:pPr>
      <w:r w:rsidRPr="0008558C">
        <w:t>N</w:t>
      </w:r>
      <w:r w:rsidR="001D56C6">
        <w:t>ot</w:t>
      </w:r>
      <w:r w:rsidRPr="0008558C">
        <w:t xml:space="preserve"> used in combination with other products indicated for prophylaxis</w:t>
      </w:r>
      <w:r w:rsidR="00A82B52">
        <w:t xml:space="preserve">; </w:t>
      </w:r>
      <w:r w:rsidR="00A82B52" w:rsidRPr="005E5B0B">
        <w:rPr>
          <w:b/>
          <w:bCs/>
        </w:rPr>
        <w:t>AND</w:t>
      </w:r>
    </w:p>
    <w:p w14:paraId="5DCAAF96" w14:textId="77777777" w:rsidR="00764718" w:rsidRDefault="00764718" w:rsidP="009A39DD">
      <w:pPr>
        <w:pStyle w:val="ListParagraph"/>
        <w:numPr>
          <w:ilvl w:val="1"/>
          <w:numId w:val="6"/>
        </w:numPr>
      </w:pPr>
      <w:r>
        <w:t>Must meet one of the following:</w:t>
      </w:r>
    </w:p>
    <w:p w14:paraId="443CAC2B" w14:textId="77777777" w:rsidR="00764718" w:rsidRDefault="00764718" w:rsidP="00764718">
      <w:pPr>
        <w:pStyle w:val="ListParagraph"/>
        <w:numPr>
          <w:ilvl w:val="2"/>
          <w:numId w:val="6"/>
        </w:numPr>
      </w:pPr>
      <w:r>
        <w:t xml:space="preserve">Frequency requested is every 8 weeks; </w:t>
      </w:r>
      <w:r w:rsidRPr="005E5B0B">
        <w:rPr>
          <w:b/>
          <w:bCs/>
        </w:rPr>
        <w:t>OR</w:t>
      </w:r>
    </w:p>
    <w:p w14:paraId="650BED14" w14:textId="134E8165" w:rsidR="006826ED" w:rsidRPr="0008558C" w:rsidRDefault="00764718" w:rsidP="005E5B0B">
      <w:pPr>
        <w:pStyle w:val="ListParagraph"/>
        <w:numPr>
          <w:ilvl w:val="2"/>
          <w:numId w:val="6"/>
        </w:numPr>
      </w:pPr>
      <w:r>
        <w:t>Reasons of medical necessity why dosing every 8 weeks cannot been utilized.</w:t>
      </w:r>
      <w:r w:rsidR="006826ED" w:rsidRPr="0008558C">
        <w:t xml:space="preserve"> </w:t>
      </w:r>
    </w:p>
    <w:p w14:paraId="66DBD546" w14:textId="3D107B44" w:rsidR="006826ED" w:rsidRPr="0008558C" w:rsidRDefault="00B44FAD" w:rsidP="009A39DD">
      <w:pPr>
        <w:pStyle w:val="ListParagraph"/>
      </w:pPr>
      <w:r w:rsidRPr="0008558C">
        <w:t>Continuation approval period: 12 months</w:t>
      </w:r>
    </w:p>
    <w:p w14:paraId="7DFB0A9A" w14:textId="77777777" w:rsidR="00826013" w:rsidRDefault="00826013" w:rsidP="0022031B">
      <w:pPr>
        <w:spacing w:before="60" w:after="60"/>
      </w:pPr>
    </w:p>
    <w:p w14:paraId="0ACA88B9" w14:textId="1204C5BA" w:rsidR="00826013" w:rsidRPr="00BE6011" w:rsidRDefault="00826013" w:rsidP="0022031B">
      <w:pPr>
        <w:spacing w:before="60" w:after="60"/>
        <w:rPr>
          <w:b/>
          <w:bCs/>
          <w:u w:val="single"/>
        </w:rPr>
      </w:pPr>
      <w:r w:rsidRPr="00BE6011">
        <w:rPr>
          <w:b/>
          <w:bCs/>
          <w:u w:val="single"/>
        </w:rPr>
        <w:t>Denial Criteria:</w:t>
      </w:r>
    </w:p>
    <w:p w14:paraId="3C52027C" w14:textId="4EBC3ABA" w:rsidR="00B44FAD" w:rsidRPr="0008558C" w:rsidRDefault="00B44FAD" w:rsidP="009A39DD">
      <w:pPr>
        <w:pStyle w:val="ListParagraph"/>
      </w:pPr>
      <w:r w:rsidRPr="0008558C">
        <w:t xml:space="preserve">Therapy </w:t>
      </w:r>
      <w:r w:rsidR="006C5656" w:rsidRPr="0008558C">
        <w:t>will deny in presence of one of the following:</w:t>
      </w:r>
    </w:p>
    <w:p w14:paraId="5C918FF9" w14:textId="77777777" w:rsidR="00C675A9" w:rsidRPr="0008558C" w:rsidRDefault="00C675A9" w:rsidP="009A39DD">
      <w:pPr>
        <w:pStyle w:val="ListParagraph"/>
        <w:numPr>
          <w:ilvl w:val="1"/>
          <w:numId w:val="6"/>
        </w:numPr>
      </w:pPr>
      <w:r w:rsidRPr="0008558C">
        <w:t xml:space="preserve">Any approval criteria are not met; </w:t>
      </w:r>
      <w:r w:rsidRPr="0008558C">
        <w:rPr>
          <w:b/>
          <w:bCs/>
        </w:rPr>
        <w:t>OR</w:t>
      </w:r>
    </w:p>
    <w:p w14:paraId="13CE0340" w14:textId="668CD3AC" w:rsidR="006C5656" w:rsidRPr="0008558C" w:rsidRDefault="00F94FF0" w:rsidP="009A39DD">
      <w:pPr>
        <w:pStyle w:val="ListParagraph"/>
        <w:numPr>
          <w:ilvl w:val="1"/>
          <w:numId w:val="6"/>
        </w:numPr>
      </w:pPr>
      <w:r w:rsidRPr="0008558C">
        <w:t>Participant is currently pregnant.</w:t>
      </w:r>
    </w:p>
    <w:p w14:paraId="30C5A5C8" w14:textId="64BDB97E" w:rsidR="003A43A6" w:rsidRDefault="003A43A6" w:rsidP="00BC46EE">
      <w:pPr>
        <w:pStyle w:val="Style2"/>
      </w:pPr>
      <w:r>
        <w:t>Implication to State Medicaid Program</w:t>
      </w:r>
    </w:p>
    <w:p w14:paraId="52FF6C25" w14:textId="77777777" w:rsidR="00315B38" w:rsidRPr="004A341A" w:rsidRDefault="00315B38" w:rsidP="00315B38">
      <w:pPr>
        <w:rPr>
          <w:b/>
          <w:bCs/>
        </w:rPr>
      </w:pPr>
      <w:r w:rsidRPr="004A341A">
        <w:rPr>
          <w:b/>
          <w:bCs/>
        </w:rPr>
        <w:t>LOE: 08/21/2039</w:t>
      </w:r>
    </w:p>
    <w:p w14:paraId="2BE49751" w14:textId="77777777" w:rsidR="00315B38" w:rsidRDefault="00315B38" w:rsidP="00315B38"/>
    <w:p w14:paraId="7B8DCA06" w14:textId="16ADEEBF" w:rsidR="00315B38" w:rsidRPr="004A341A" w:rsidRDefault="00315B38" w:rsidP="00315B38">
      <w:pPr>
        <w:rPr>
          <w:b/>
          <w:bCs/>
        </w:rPr>
      </w:pPr>
      <w:r w:rsidRPr="004A341A">
        <w:rPr>
          <w:b/>
          <w:bCs/>
        </w:rPr>
        <w:t>Pipeline:</w:t>
      </w:r>
    </w:p>
    <w:p w14:paraId="098C52F3" w14:textId="651AB6CF" w:rsidR="00315B38" w:rsidRDefault="00315B38" w:rsidP="009A39DD">
      <w:pPr>
        <w:pStyle w:val="ListParagraph"/>
      </w:pPr>
      <w:r>
        <w:t>Lonvoguran (NTLA-2002)</w:t>
      </w:r>
    </w:p>
    <w:p w14:paraId="6756F709" w14:textId="01496A16" w:rsidR="00315B38" w:rsidRDefault="00315B38" w:rsidP="009A39DD">
      <w:pPr>
        <w:pStyle w:val="ListParagraph"/>
        <w:numPr>
          <w:ilvl w:val="1"/>
          <w:numId w:val="6"/>
        </w:numPr>
      </w:pPr>
      <w:r>
        <w:t>Phase 3 HAELO trial</w:t>
      </w:r>
    </w:p>
    <w:p w14:paraId="0E500E68" w14:textId="7AA56E99" w:rsidR="00315B38" w:rsidRDefault="00315B38" w:rsidP="009A39DD">
      <w:pPr>
        <w:pStyle w:val="ListParagraph"/>
        <w:numPr>
          <w:ilvl w:val="1"/>
          <w:numId w:val="6"/>
        </w:numPr>
      </w:pPr>
      <w:r>
        <w:t>CRISPR gene editing, single IV infusion</w:t>
      </w:r>
    </w:p>
    <w:p w14:paraId="3045621B" w14:textId="66DF2B1D" w:rsidR="00315B38" w:rsidRDefault="00315B38" w:rsidP="009A39DD">
      <w:pPr>
        <w:pStyle w:val="ListParagraph"/>
        <w:numPr>
          <w:ilvl w:val="1"/>
          <w:numId w:val="6"/>
        </w:numPr>
      </w:pPr>
      <w:r>
        <w:t>Estimated completion 2026</w:t>
      </w:r>
    </w:p>
    <w:p w14:paraId="70D173BB" w14:textId="5947798E" w:rsidR="00315B38" w:rsidRDefault="00315B38" w:rsidP="009A39DD">
      <w:pPr>
        <w:pStyle w:val="ListParagraph"/>
      </w:pPr>
      <w:r>
        <w:t>Navenibart (STAR-0215)</w:t>
      </w:r>
    </w:p>
    <w:p w14:paraId="2E51C98A" w14:textId="2F74B39B" w:rsidR="00315B38" w:rsidRDefault="00315B38" w:rsidP="009A39DD">
      <w:pPr>
        <w:pStyle w:val="ListParagraph"/>
        <w:numPr>
          <w:ilvl w:val="1"/>
          <w:numId w:val="6"/>
        </w:numPr>
      </w:pPr>
      <w:r>
        <w:t xml:space="preserve">Phase 3 ALPHA-ORBIT trial, completed in </w:t>
      </w:r>
      <w:r w:rsidR="00E0365F">
        <w:t>March</w:t>
      </w:r>
      <w:r>
        <w:t xml:space="preserve"> 2025</w:t>
      </w:r>
    </w:p>
    <w:p w14:paraId="12AD8FAC" w14:textId="7D001EC9" w:rsidR="00315B38" w:rsidRDefault="00315B38" w:rsidP="009A39DD">
      <w:pPr>
        <w:pStyle w:val="ListParagraph"/>
        <w:numPr>
          <w:ilvl w:val="1"/>
          <w:numId w:val="6"/>
        </w:numPr>
      </w:pPr>
      <w:r>
        <w:t>Monoclonal antibody inhibitor of plasma kallikrein inhibitor, subcutaneous injection</w:t>
      </w:r>
    </w:p>
    <w:p w14:paraId="276D797A" w14:textId="1255C9D6" w:rsidR="00315B38" w:rsidRDefault="00315B38" w:rsidP="009A39DD">
      <w:pPr>
        <w:pStyle w:val="ListParagraph"/>
        <w:numPr>
          <w:ilvl w:val="1"/>
          <w:numId w:val="6"/>
        </w:numPr>
      </w:pPr>
      <w:r>
        <w:t>Estimated completion 2027</w:t>
      </w:r>
    </w:p>
    <w:p w14:paraId="2DD9F571" w14:textId="565C9136" w:rsidR="00315B38" w:rsidRDefault="00315B38" w:rsidP="009A39DD">
      <w:pPr>
        <w:pStyle w:val="ListParagraph"/>
      </w:pPr>
      <w:r>
        <w:t>Deucrictibant (PHVS719)</w:t>
      </w:r>
    </w:p>
    <w:p w14:paraId="1DA9CBC4" w14:textId="7D7E84A7" w:rsidR="00315B38" w:rsidRDefault="00315B38" w:rsidP="009A39DD">
      <w:pPr>
        <w:pStyle w:val="ListParagraph"/>
        <w:numPr>
          <w:ilvl w:val="1"/>
          <w:numId w:val="6"/>
        </w:numPr>
      </w:pPr>
      <w:r>
        <w:t>Phase 3 trial</w:t>
      </w:r>
    </w:p>
    <w:p w14:paraId="15FADE45" w14:textId="1B1ADCE1" w:rsidR="00315B38" w:rsidRDefault="00315B38" w:rsidP="009A39DD">
      <w:pPr>
        <w:pStyle w:val="ListParagraph"/>
        <w:numPr>
          <w:ilvl w:val="1"/>
          <w:numId w:val="6"/>
        </w:numPr>
      </w:pPr>
      <w:r>
        <w:t xml:space="preserve">Bradykinin B2 receptor antagonist </w:t>
      </w:r>
      <w:r w:rsidR="00981E8D">
        <w:t>extended-release</w:t>
      </w:r>
      <w:r>
        <w:t xml:space="preserve"> tablet</w:t>
      </w:r>
    </w:p>
    <w:p w14:paraId="68483E47" w14:textId="7E55DA76" w:rsidR="003A43A6" w:rsidRDefault="00315B38" w:rsidP="009A39DD">
      <w:pPr>
        <w:pStyle w:val="ListParagraph"/>
        <w:numPr>
          <w:ilvl w:val="1"/>
          <w:numId w:val="6"/>
        </w:numPr>
      </w:pPr>
      <w:r>
        <w:t>Estimated completion 2026</w:t>
      </w:r>
    </w:p>
    <w:p w14:paraId="5EB407F1" w14:textId="77777777" w:rsidR="008536F9" w:rsidRPr="00417F7D" w:rsidRDefault="008536F9" w:rsidP="00BC46EE">
      <w:pPr>
        <w:pStyle w:val="Style2"/>
      </w:pPr>
      <w:r w:rsidRPr="00417F7D">
        <w:t>References:</w:t>
      </w:r>
    </w:p>
    <w:p w14:paraId="3BA19100" w14:textId="77777777" w:rsidR="008536F9" w:rsidRPr="009A39DD" w:rsidRDefault="008536F9" w:rsidP="009A39DD">
      <w:pPr>
        <w:pStyle w:val="ListParagraph"/>
      </w:pPr>
      <w:r w:rsidRPr="009A39DD">
        <w:t xml:space="preserve">Dawnzera [package insert]. </w:t>
      </w:r>
      <w:sdt>
        <w:sdtPr>
          <w:id w:val="-1095638733"/>
          <w:placeholder>
            <w:docPart w:val="C12E0E7906A648DA8DC49096E6EE3A6C"/>
          </w:placeholder>
          <w:text/>
        </w:sdtPr>
        <w:sdtContent>
          <w:r w:rsidRPr="009A39DD">
            <w:t>Carlsbad, CA: Ionis Pharmaceuticals Inc; August 2025.</w:t>
          </w:r>
        </w:sdtContent>
      </w:sdt>
    </w:p>
    <w:p w14:paraId="5010F863" w14:textId="59D86494" w:rsidR="00F14914" w:rsidRDefault="00F14914" w:rsidP="009A39DD">
      <w:pPr>
        <w:pStyle w:val="ListParagraph"/>
      </w:pPr>
      <w:r>
        <w:t>IPD Analytics. New Drug Review: Dawnzera (</w:t>
      </w:r>
      <w:r w:rsidR="00201E9D">
        <w:t>donidalorsen)</w:t>
      </w:r>
      <w:r w:rsidR="003C4BF8">
        <w:t xml:space="preserve">. September 2025. </w:t>
      </w:r>
    </w:p>
    <w:p w14:paraId="38417178" w14:textId="77777777" w:rsidR="00B10D47" w:rsidRPr="009A39DD" w:rsidRDefault="00B10D47" w:rsidP="009A39DD">
      <w:pPr>
        <w:pStyle w:val="ListParagraph"/>
      </w:pPr>
      <w:r w:rsidRPr="009A39DD">
        <w:t>Busse PJ, Christiansen SC, Riedl MA, et al. US HAEA Medical Advisory Board 2020 guidelines for the management of hereditary angioedema. J Allergy Clin Immunol Pract. 2021;9(1):132–150.e3. doi:10.1016/j.jaip.2020.08.046</w:t>
      </w:r>
    </w:p>
    <w:p w14:paraId="41AAE954" w14:textId="77777777" w:rsidR="00B10D47" w:rsidRPr="0008558C" w:rsidRDefault="00B10D47" w:rsidP="009A39DD">
      <w:pPr>
        <w:pStyle w:val="ListParagraph"/>
      </w:pPr>
      <w:r w:rsidRPr="009A39DD">
        <w:lastRenderedPageBreak/>
        <w:t>Maurer M, Magerl M, Betschel S, et al. The international WAO/EAACI guideline for the management of hereditary angioedema - the 2021 revision and update. World Allergy Organ J. 2022;15(3):100627. doi:10.1016/j.waojou.2022.100627</w:t>
      </w:r>
    </w:p>
    <w:p w14:paraId="54C60219" w14:textId="5FC0380A" w:rsidR="00B10D47" w:rsidRDefault="00B10D47" w:rsidP="009A39DD">
      <w:pPr>
        <w:pStyle w:val="ListParagraph"/>
      </w:pPr>
      <w:r w:rsidRPr="002E4C1E">
        <w:t xml:space="preserve">Riedl MA, Tachdjian R, </w:t>
      </w:r>
      <w:r w:rsidR="00981487">
        <w:t>et al.</w:t>
      </w:r>
      <w:r w:rsidRPr="002E4C1E">
        <w:t xml:space="preserve"> OASIS-HAE Team. Efficacy and Safety of Donidalorsen for Hereditary Angioedema. N Engl J Med. 2024 Jul 4;391(1):21-31. doi: 10.1056/NEJMoa2402478. Epub 2024 May 31. PMID: 38819395.</w:t>
      </w:r>
    </w:p>
    <w:p w14:paraId="3FA1E7DB" w14:textId="6DCC5F8E" w:rsidR="00777CA4" w:rsidRDefault="00B10D47" w:rsidP="00631FFD">
      <w:pPr>
        <w:pStyle w:val="ListParagraph"/>
      </w:pPr>
      <w:r>
        <w:t xml:space="preserve">Zuraw B, Farkas H. </w:t>
      </w:r>
      <w:r w:rsidRPr="00273331">
        <w:t>Hereditary angioedema (due to C1 inhibitor deficiency): Pathogenesis and diagnosis</w:t>
      </w:r>
      <w:r>
        <w:t>. In: UpToDate, Feldweg AM (Ed), Wolters Kluwer. (Accessed on October 8, 2025.</w:t>
      </w:r>
    </w:p>
    <w:p w14:paraId="6ACF4181" w14:textId="6F9E9717" w:rsidR="0015236A" w:rsidRPr="0008558C" w:rsidRDefault="0015236A" w:rsidP="00631FFD">
      <w:pPr>
        <w:pStyle w:val="ListParagraph"/>
      </w:pPr>
      <w:r w:rsidRPr="0015236A">
        <w:t xml:space="preserve">Riedl MA, Bernstein JA, </w:t>
      </w:r>
      <w:r>
        <w:t>et al</w:t>
      </w:r>
      <w:r w:rsidRPr="0015236A">
        <w:t>. Donidalorsen Treatment of Hereditary Angioedema in Patients Previously on Long-Term Prophylaxis. J Allergy Clin Immunol Pract. 2025 Sep;13(9):2381-2389.e3. doi: 10.1016/j.jaip.2025.06.018. Epub 2025 Jul 17. PMID: 40673861.</w:t>
      </w:r>
    </w:p>
    <w:sectPr w:rsidR="0015236A" w:rsidRPr="0008558C" w:rsidSect="00AB0B9F">
      <w:headerReference w:type="even" r:id="rId11"/>
      <w:footerReference w:type="even" r:id="rId12"/>
      <w:footerReference w:type="default" r:id="rId13"/>
      <w:headerReference w:type="first" r:id="rId14"/>
      <w:footerReference w:type="first" r:id="rId15"/>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3261" w14:textId="77777777" w:rsidR="004A1D86" w:rsidRPr="00C02553" w:rsidRDefault="004A1D86" w:rsidP="00AE77DB">
      <w:r w:rsidRPr="00C02553">
        <w:separator/>
      </w:r>
    </w:p>
  </w:endnote>
  <w:endnote w:type="continuationSeparator" w:id="0">
    <w:p w14:paraId="16D18FB0" w14:textId="77777777" w:rsidR="004A1D86" w:rsidRPr="00C02553" w:rsidRDefault="004A1D86" w:rsidP="00AE77DB">
      <w:r w:rsidRPr="00C02553">
        <w:continuationSeparator/>
      </w:r>
    </w:p>
  </w:endnote>
  <w:endnote w:type="continuationNotice" w:id="1">
    <w:p w14:paraId="18483628" w14:textId="77777777" w:rsidR="004A1D86" w:rsidRPr="00C02553" w:rsidRDefault="004A1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6366" w14:textId="77777777" w:rsidR="00811A70" w:rsidRPr="00C02553" w:rsidRDefault="00811A70" w:rsidP="00811A70">
    <w:pPr>
      <w:rPr>
        <w:rFonts w:cs="Arial"/>
        <w:sz w:val="16"/>
        <w:szCs w:val="16"/>
      </w:rPr>
    </w:pPr>
    <w:r w:rsidRPr="00C02553">
      <w:rPr>
        <w:rFonts w:cs="Arial"/>
        <w:sz w:val="16"/>
        <w:szCs w:val="16"/>
      </w:rPr>
      <w:t>© 2025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90CE926" w:rsidR="005058CB" w:rsidRPr="00C02553" w:rsidRDefault="005058CB" w:rsidP="005058CB">
    <w:pPr>
      <w:pStyle w:val="Footer"/>
      <w:tabs>
        <w:tab w:val="clear" w:pos="8640"/>
        <w:tab w:val="right" w:pos="9360"/>
      </w:tabs>
      <w:jc w:val="both"/>
      <w:rPr>
        <w:rFonts w:cs="Arial"/>
        <w:sz w:val="16"/>
        <w:szCs w:val="16"/>
      </w:rPr>
    </w:pPr>
  </w:p>
  <w:p w14:paraId="4BB04B71" w14:textId="77777777" w:rsidR="005058CB" w:rsidRPr="00C02553" w:rsidRDefault="005058CB" w:rsidP="005058CB">
    <w:pPr>
      <w:jc w:val="both"/>
      <w:rPr>
        <w:rFonts w:cs="Arial"/>
        <w:sz w:val="16"/>
        <w:szCs w:val="16"/>
      </w:rPr>
    </w:pPr>
    <w:r w:rsidRPr="00C02553">
      <w:rPr>
        <w:rFonts w:cs="Arial"/>
        <w:sz w:val="16"/>
        <w:szCs w:val="16"/>
      </w:rPr>
      <w:t>© 2025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2E6A" w14:textId="77777777" w:rsidR="004A1D86" w:rsidRPr="00C02553" w:rsidRDefault="004A1D86" w:rsidP="00AE77DB">
      <w:r w:rsidRPr="00C02553">
        <w:separator/>
      </w:r>
    </w:p>
  </w:footnote>
  <w:footnote w:type="continuationSeparator" w:id="0">
    <w:p w14:paraId="4591B654" w14:textId="77777777" w:rsidR="004A1D86" w:rsidRPr="00C02553" w:rsidRDefault="004A1D86" w:rsidP="00AE77DB">
      <w:r w:rsidRPr="00C02553">
        <w:continuationSeparator/>
      </w:r>
    </w:p>
  </w:footnote>
  <w:footnote w:type="continuationNotice" w:id="1">
    <w:p w14:paraId="36BE0ABB" w14:textId="77777777" w:rsidR="004A1D86" w:rsidRPr="00C02553" w:rsidRDefault="004A1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8DCD7FF"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1E13C8E"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7D077B5B">
          <wp:simplePos x="0" y="0"/>
          <wp:positionH relativeFrom="margin">
            <wp:posOffset>3935730</wp:posOffset>
          </wp:positionH>
          <wp:positionV relativeFrom="topMargin">
            <wp:posOffset>97155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026209"/>
    <w:multiLevelType w:val="hybridMultilevel"/>
    <w:tmpl w:val="02AE29F8"/>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8D40C3"/>
    <w:multiLevelType w:val="multilevel"/>
    <w:tmpl w:val="E1A2A51C"/>
    <w:numStyleLink w:val="References"/>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413988"/>
    <w:multiLevelType w:val="hybridMultilevel"/>
    <w:tmpl w:val="25DAA52C"/>
    <w:lvl w:ilvl="0" w:tplc="05C242F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5FB4C"/>
    <w:multiLevelType w:val="hybridMultilevel"/>
    <w:tmpl w:val="0EDEA332"/>
    <w:lvl w:ilvl="0" w:tplc="44F0093C">
      <w:start w:val="1"/>
      <w:numFmt w:val="bullet"/>
      <w:lvlText w:val=""/>
      <w:lvlJc w:val="left"/>
      <w:pPr>
        <w:ind w:left="720" w:hanging="360"/>
      </w:pPr>
      <w:rPr>
        <w:rFonts w:ascii="Symbol" w:hAnsi="Symbol" w:hint="default"/>
      </w:rPr>
    </w:lvl>
    <w:lvl w:ilvl="1" w:tplc="94E6A8CE">
      <w:start w:val="1"/>
      <w:numFmt w:val="bullet"/>
      <w:lvlText w:val="o"/>
      <w:lvlJc w:val="left"/>
      <w:pPr>
        <w:ind w:left="1440" w:hanging="360"/>
      </w:pPr>
      <w:rPr>
        <w:rFonts w:ascii="Courier New" w:hAnsi="Courier New" w:hint="default"/>
      </w:rPr>
    </w:lvl>
    <w:lvl w:ilvl="2" w:tplc="58C62420">
      <w:start w:val="1"/>
      <w:numFmt w:val="bullet"/>
      <w:lvlText w:val=""/>
      <w:lvlJc w:val="left"/>
      <w:pPr>
        <w:ind w:left="2160" w:hanging="360"/>
      </w:pPr>
      <w:rPr>
        <w:rFonts w:ascii="Wingdings" w:hAnsi="Wingdings" w:hint="default"/>
      </w:rPr>
    </w:lvl>
    <w:lvl w:ilvl="3" w:tplc="495A5390">
      <w:start w:val="1"/>
      <w:numFmt w:val="bullet"/>
      <w:lvlText w:val=""/>
      <w:lvlJc w:val="left"/>
      <w:pPr>
        <w:ind w:left="2880" w:hanging="360"/>
      </w:pPr>
      <w:rPr>
        <w:rFonts w:ascii="Symbol" w:hAnsi="Symbol" w:hint="default"/>
      </w:rPr>
    </w:lvl>
    <w:lvl w:ilvl="4" w:tplc="16B6A734">
      <w:start w:val="1"/>
      <w:numFmt w:val="bullet"/>
      <w:lvlText w:val="o"/>
      <w:lvlJc w:val="left"/>
      <w:pPr>
        <w:ind w:left="3600" w:hanging="360"/>
      </w:pPr>
      <w:rPr>
        <w:rFonts w:ascii="Courier New" w:hAnsi="Courier New" w:hint="default"/>
      </w:rPr>
    </w:lvl>
    <w:lvl w:ilvl="5" w:tplc="1194CDF8">
      <w:start w:val="1"/>
      <w:numFmt w:val="bullet"/>
      <w:lvlText w:val=""/>
      <w:lvlJc w:val="left"/>
      <w:pPr>
        <w:ind w:left="4320" w:hanging="360"/>
      </w:pPr>
      <w:rPr>
        <w:rFonts w:ascii="Wingdings" w:hAnsi="Wingdings" w:hint="default"/>
      </w:rPr>
    </w:lvl>
    <w:lvl w:ilvl="6" w:tplc="4BFA13EC">
      <w:start w:val="1"/>
      <w:numFmt w:val="bullet"/>
      <w:lvlText w:val=""/>
      <w:lvlJc w:val="left"/>
      <w:pPr>
        <w:ind w:left="5040" w:hanging="360"/>
      </w:pPr>
      <w:rPr>
        <w:rFonts w:ascii="Symbol" w:hAnsi="Symbol" w:hint="default"/>
      </w:rPr>
    </w:lvl>
    <w:lvl w:ilvl="7" w:tplc="A254EA00">
      <w:start w:val="1"/>
      <w:numFmt w:val="bullet"/>
      <w:lvlText w:val="o"/>
      <w:lvlJc w:val="left"/>
      <w:pPr>
        <w:ind w:left="5760" w:hanging="360"/>
      </w:pPr>
      <w:rPr>
        <w:rFonts w:ascii="Courier New" w:hAnsi="Courier New" w:hint="default"/>
      </w:rPr>
    </w:lvl>
    <w:lvl w:ilvl="8" w:tplc="89DAF7EE">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CDF999"/>
    <w:multiLevelType w:val="hybridMultilevel"/>
    <w:tmpl w:val="F8CC5BA4"/>
    <w:lvl w:ilvl="0" w:tplc="04BCDFC2">
      <w:start w:val="1"/>
      <w:numFmt w:val="bullet"/>
      <w:lvlText w:val=""/>
      <w:lvlJc w:val="left"/>
      <w:pPr>
        <w:ind w:left="720" w:hanging="360"/>
      </w:pPr>
      <w:rPr>
        <w:rFonts w:ascii="Symbol" w:hAnsi="Symbol" w:hint="default"/>
      </w:rPr>
    </w:lvl>
    <w:lvl w:ilvl="1" w:tplc="BFC688A8">
      <w:start w:val="1"/>
      <w:numFmt w:val="bullet"/>
      <w:lvlText w:val="o"/>
      <w:lvlJc w:val="left"/>
      <w:pPr>
        <w:ind w:left="1440" w:hanging="360"/>
      </w:pPr>
      <w:rPr>
        <w:rFonts w:ascii="Courier New" w:hAnsi="Courier New" w:hint="default"/>
      </w:rPr>
    </w:lvl>
    <w:lvl w:ilvl="2" w:tplc="276EF5B0">
      <w:start w:val="1"/>
      <w:numFmt w:val="bullet"/>
      <w:lvlText w:val=""/>
      <w:lvlJc w:val="left"/>
      <w:pPr>
        <w:ind w:left="2160" w:hanging="360"/>
      </w:pPr>
      <w:rPr>
        <w:rFonts w:ascii="Wingdings" w:hAnsi="Wingdings" w:hint="default"/>
      </w:rPr>
    </w:lvl>
    <w:lvl w:ilvl="3" w:tplc="1F382742">
      <w:start w:val="1"/>
      <w:numFmt w:val="bullet"/>
      <w:lvlText w:val=""/>
      <w:lvlJc w:val="left"/>
      <w:pPr>
        <w:ind w:left="2880" w:hanging="360"/>
      </w:pPr>
      <w:rPr>
        <w:rFonts w:ascii="Symbol" w:hAnsi="Symbol" w:hint="default"/>
      </w:rPr>
    </w:lvl>
    <w:lvl w:ilvl="4" w:tplc="6BAADEB8">
      <w:start w:val="1"/>
      <w:numFmt w:val="bullet"/>
      <w:lvlText w:val="o"/>
      <w:lvlJc w:val="left"/>
      <w:pPr>
        <w:ind w:left="3600" w:hanging="360"/>
      </w:pPr>
      <w:rPr>
        <w:rFonts w:ascii="Courier New" w:hAnsi="Courier New" w:hint="default"/>
      </w:rPr>
    </w:lvl>
    <w:lvl w:ilvl="5" w:tplc="CEDECA06">
      <w:start w:val="1"/>
      <w:numFmt w:val="bullet"/>
      <w:lvlText w:val=""/>
      <w:lvlJc w:val="left"/>
      <w:pPr>
        <w:ind w:left="4320" w:hanging="360"/>
      </w:pPr>
      <w:rPr>
        <w:rFonts w:ascii="Wingdings" w:hAnsi="Wingdings" w:hint="default"/>
      </w:rPr>
    </w:lvl>
    <w:lvl w:ilvl="6" w:tplc="CA2A4598">
      <w:start w:val="1"/>
      <w:numFmt w:val="bullet"/>
      <w:lvlText w:val=""/>
      <w:lvlJc w:val="left"/>
      <w:pPr>
        <w:ind w:left="5040" w:hanging="360"/>
      </w:pPr>
      <w:rPr>
        <w:rFonts w:ascii="Symbol" w:hAnsi="Symbol" w:hint="default"/>
      </w:rPr>
    </w:lvl>
    <w:lvl w:ilvl="7" w:tplc="2FBA7142">
      <w:start w:val="1"/>
      <w:numFmt w:val="bullet"/>
      <w:lvlText w:val="o"/>
      <w:lvlJc w:val="left"/>
      <w:pPr>
        <w:ind w:left="5760" w:hanging="360"/>
      </w:pPr>
      <w:rPr>
        <w:rFonts w:ascii="Courier New" w:hAnsi="Courier New" w:hint="default"/>
      </w:rPr>
    </w:lvl>
    <w:lvl w:ilvl="8" w:tplc="73B69CB2">
      <w:start w:val="1"/>
      <w:numFmt w:val="bullet"/>
      <w:lvlText w:val=""/>
      <w:lvlJc w:val="left"/>
      <w:pPr>
        <w:ind w:left="6480" w:hanging="360"/>
      </w:pPr>
      <w:rPr>
        <w:rFonts w:ascii="Wingdings" w:hAnsi="Wingdings" w:hint="default"/>
      </w:rPr>
    </w:lvl>
  </w:abstractNum>
  <w:abstractNum w:abstractNumId="14" w15:restartNumberingAfterBreak="0">
    <w:nsid w:val="46034DD3"/>
    <w:multiLevelType w:val="hybridMultilevel"/>
    <w:tmpl w:val="D07251EE"/>
    <w:lvl w:ilvl="0" w:tplc="82B24D36">
      <w:start w:val="1"/>
      <w:numFmt w:val="bullet"/>
      <w:lvlText w:val=""/>
      <w:lvlJc w:val="left"/>
      <w:pPr>
        <w:ind w:left="720" w:hanging="360"/>
      </w:pPr>
      <w:rPr>
        <w:rFonts w:ascii="Symbol" w:hAnsi="Symbol" w:hint="default"/>
      </w:rPr>
    </w:lvl>
    <w:lvl w:ilvl="1" w:tplc="A8D22090">
      <w:start w:val="1"/>
      <w:numFmt w:val="bullet"/>
      <w:lvlText w:val="o"/>
      <w:lvlJc w:val="left"/>
      <w:pPr>
        <w:ind w:left="1440" w:hanging="360"/>
      </w:pPr>
      <w:rPr>
        <w:rFonts w:ascii="Courier New" w:hAnsi="Courier New" w:hint="default"/>
      </w:rPr>
    </w:lvl>
    <w:lvl w:ilvl="2" w:tplc="AF8C2FD8">
      <w:start w:val="1"/>
      <w:numFmt w:val="bullet"/>
      <w:lvlText w:val=""/>
      <w:lvlJc w:val="left"/>
      <w:pPr>
        <w:ind w:left="2160" w:hanging="360"/>
      </w:pPr>
      <w:rPr>
        <w:rFonts w:ascii="Wingdings" w:hAnsi="Wingdings" w:hint="default"/>
      </w:rPr>
    </w:lvl>
    <w:lvl w:ilvl="3" w:tplc="D5DAC2F8">
      <w:start w:val="1"/>
      <w:numFmt w:val="bullet"/>
      <w:lvlText w:val=""/>
      <w:lvlJc w:val="left"/>
      <w:pPr>
        <w:ind w:left="2880" w:hanging="360"/>
      </w:pPr>
      <w:rPr>
        <w:rFonts w:ascii="Symbol" w:hAnsi="Symbol" w:hint="default"/>
      </w:rPr>
    </w:lvl>
    <w:lvl w:ilvl="4" w:tplc="474822D6">
      <w:start w:val="1"/>
      <w:numFmt w:val="bullet"/>
      <w:lvlText w:val="o"/>
      <w:lvlJc w:val="left"/>
      <w:pPr>
        <w:ind w:left="3600" w:hanging="360"/>
      </w:pPr>
      <w:rPr>
        <w:rFonts w:ascii="Courier New" w:hAnsi="Courier New" w:hint="default"/>
      </w:rPr>
    </w:lvl>
    <w:lvl w:ilvl="5" w:tplc="CD941DCE">
      <w:start w:val="1"/>
      <w:numFmt w:val="bullet"/>
      <w:lvlText w:val=""/>
      <w:lvlJc w:val="left"/>
      <w:pPr>
        <w:ind w:left="4320" w:hanging="360"/>
      </w:pPr>
      <w:rPr>
        <w:rFonts w:ascii="Wingdings" w:hAnsi="Wingdings" w:hint="default"/>
      </w:rPr>
    </w:lvl>
    <w:lvl w:ilvl="6" w:tplc="D9CAAA1C">
      <w:start w:val="1"/>
      <w:numFmt w:val="bullet"/>
      <w:lvlText w:val=""/>
      <w:lvlJc w:val="left"/>
      <w:pPr>
        <w:ind w:left="5040" w:hanging="360"/>
      </w:pPr>
      <w:rPr>
        <w:rFonts w:ascii="Symbol" w:hAnsi="Symbol" w:hint="default"/>
      </w:rPr>
    </w:lvl>
    <w:lvl w:ilvl="7" w:tplc="89E6BCFE">
      <w:start w:val="1"/>
      <w:numFmt w:val="bullet"/>
      <w:lvlText w:val="o"/>
      <w:lvlJc w:val="left"/>
      <w:pPr>
        <w:ind w:left="5760" w:hanging="360"/>
      </w:pPr>
      <w:rPr>
        <w:rFonts w:ascii="Courier New" w:hAnsi="Courier New" w:hint="default"/>
      </w:rPr>
    </w:lvl>
    <w:lvl w:ilvl="8" w:tplc="CC846D40">
      <w:start w:val="1"/>
      <w:numFmt w:val="bullet"/>
      <w:lvlText w:val=""/>
      <w:lvlJc w:val="left"/>
      <w:pPr>
        <w:ind w:left="6480" w:hanging="360"/>
      </w:pPr>
      <w:rPr>
        <w:rFonts w:ascii="Wingdings" w:hAnsi="Wingdings" w:hint="default"/>
      </w:rPr>
    </w:lvl>
  </w:abstractNum>
  <w:abstractNum w:abstractNumId="15"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877C13"/>
    <w:multiLevelType w:val="hybridMultilevel"/>
    <w:tmpl w:val="0FF69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C5A17"/>
    <w:multiLevelType w:val="hybridMultilevel"/>
    <w:tmpl w:val="60E0E668"/>
    <w:lvl w:ilvl="0" w:tplc="88C2ECDA">
      <w:numFmt w:val="bullet"/>
      <w:lvlText w:val="•"/>
      <w:lvlJc w:val="left"/>
      <w:pPr>
        <w:ind w:left="1080" w:hanging="720"/>
      </w:pPr>
      <w:rPr>
        <w:rFonts w:ascii="Arial" w:eastAsia="Times New Roman" w:hAnsi="Arial" w:cs="Arial" w:hint="default"/>
      </w:rPr>
    </w:lvl>
    <w:lvl w:ilvl="1" w:tplc="CC2895AA">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71085C"/>
    <w:multiLevelType w:val="hybridMultilevel"/>
    <w:tmpl w:val="B354471C"/>
    <w:lvl w:ilvl="0" w:tplc="4CD4E9B0">
      <w:numFmt w:val="bullet"/>
      <w:lvlText w:val="•"/>
      <w:lvlJc w:val="left"/>
      <w:pPr>
        <w:ind w:left="1080" w:hanging="720"/>
      </w:pPr>
      <w:rPr>
        <w:rFonts w:ascii="Arial" w:eastAsia="Times New Roman" w:hAnsi="Arial" w:cs="Arial" w:hint="default"/>
      </w:rPr>
    </w:lvl>
    <w:lvl w:ilvl="1" w:tplc="616490EC">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32637"/>
    <w:multiLevelType w:val="hybridMultilevel"/>
    <w:tmpl w:val="978C6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A46673"/>
    <w:multiLevelType w:val="hybridMultilevel"/>
    <w:tmpl w:val="3CCE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7D5AB3"/>
    <w:multiLevelType w:val="hybridMultilevel"/>
    <w:tmpl w:val="38AA522C"/>
    <w:lvl w:ilvl="0" w:tplc="04BCD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1DA4FC4">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D2637B"/>
    <w:multiLevelType w:val="hybridMultilevel"/>
    <w:tmpl w:val="42D6979C"/>
    <w:lvl w:ilvl="0" w:tplc="04BCD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33CB0"/>
    <w:multiLevelType w:val="hybridMultilevel"/>
    <w:tmpl w:val="FCC4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70267"/>
    <w:multiLevelType w:val="hybridMultilevel"/>
    <w:tmpl w:val="9826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626138"/>
    <w:multiLevelType w:val="hybridMultilevel"/>
    <w:tmpl w:val="E35A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94657">
    <w:abstractNumId w:val="0"/>
  </w:num>
  <w:num w:numId="2" w16cid:durableId="517891239">
    <w:abstractNumId w:val="27"/>
  </w:num>
  <w:num w:numId="3" w16cid:durableId="1729067566">
    <w:abstractNumId w:val="5"/>
  </w:num>
  <w:num w:numId="4" w16cid:durableId="320159068">
    <w:abstractNumId w:val="9"/>
  </w:num>
  <w:num w:numId="5" w16cid:durableId="1769498754">
    <w:abstractNumId w:val="4"/>
  </w:num>
  <w:num w:numId="6" w16cid:durableId="1094596320">
    <w:abstractNumId w:val="18"/>
  </w:num>
  <w:num w:numId="7" w16cid:durableId="2110008555">
    <w:abstractNumId w:val="2"/>
  </w:num>
  <w:num w:numId="8" w16cid:durableId="489712751">
    <w:abstractNumId w:val="7"/>
  </w:num>
  <w:num w:numId="9" w16cid:durableId="1085147965">
    <w:abstractNumId w:val="12"/>
  </w:num>
  <w:num w:numId="10" w16cid:durableId="917518096">
    <w:abstractNumId w:val="10"/>
  </w:num>
  <w:num w:numId="11" w16cid:durableId="1894998475">
    <w:abstractNumId w:val="1"/>
  </w:num>
  <w:num w:numId="12" w16cid:durableId="1418215296">
    <w:abstractNumId w:val="22"/>
  </w:num>
  <w:num w:numId="13" w16cid:durableId="604729665">
    <w:abstractNumId w:val="6"/>
  </w:num>
  <w:num w:numId="14" w16cid:durableId="1805081292">
    <w:abstractNumId w:val="15"/>
  </w:num>
  <w:num w:numId="15" w16cid:durableId="409161487">
    <w:abstractNumId w:val="20"/>
  </w:num>
  <w:num w:numId="16" w16cid:durableId="1236547927">
    <w:abstractNumId w:val="28"/>
  </w:num>
  <w:num w:numId="17" w16cid:durableId="1806314863">
    <w:abstractNumId w:val="17"/>
  </w:num>
  <w:num w:numId="18" w16cid:durableId="1317681678">
    <w:abstractNumId w:val="23"/>
  </w:num>
  <w:num w:numId="19" w16cid:durableId="750541782">
    <w:abstractNumId w:val="18"/>
  </w:num>
  <w:num w:numId="20" w16cid:durableId="151803244">
    <w:abstractNumId w:val="18"/>
  </w:num>
  <w:num w:numId="21" w16cid:durableId="1220824199">
    <w:abstractNumId w:val="18"/>
  </w:num>
  <w:num w:numId="22" w16cid:durableId="506362490">
    <w:abstractNumId w:val="18"/>
  </w:num>
  <w:num w:numId="23" w16cid:durableId="511068771">
    <w:abstractNumId w:val="24"/>
  </w:num>
  <w:num w:numId="24" w16cid:durableId="1027831259">
    <w:abstractNumId w:val="19"/>
  </w:num>
  <w:num w:numId="25" w16cid:durableId="1776753532">
    <w:abstractNumId w:val="18"/>
  </w:num>
  <w:num w:numId="26" w16cid:durableId="1695378852">
    <w:abstractNumId w:val="18"/>
  </w:num>
  <w:num w:numId="27" w16cid:durableId="446891719">
    <w:abstractNumId w:val="18"/>
  </w:num>
  <w:num w:numId="28" w16cid:durableId="328144569">
    <w:abstractNumId w:val="18"/>
  </w:num>
  <w:num w:numId="29" w16cid:durableId="1585412197">
    <w:abstractNumId w:val="3"/>
  </w:num>
  <w:num w:numId="30" w16cid:durableId="1350522020">
    <w:abstractNumId w:val="26"/>
  </w:num>
  <w:num w:numId="31" w16cid:durableId="375158187">
    <w:abstractNumId w:val="11"/>
  </w:num>
  <w:num w:numId="32" w16cid:durableId="1108088035">
    <w:abstractNumId w:val="25"/>
  </w:num>
  <w:num w:numId="33" w16cid:durableId="1580365033">
    <w:abstractNumId w:val="14"/>
  </w:num>
  <w:num w:numId="34" w16cid:durableId="979119245">
    <w:abstractNumId w:val="21"/>
  </w:num>
  <w:num w:numId="35" w16cid:durableId="258880387">
    <w:abstractNumId w:val="16"/>
  </w:num>
  <w:num w:numId="36" w16cid:durableId="625504471">
    <w:abstractNumId w:val="13"/>
  </w:num>
  <w:num w:numId="37" w16cid:durableId="13566920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457E"/>
    <w:rsid w:val="00006A61"/>
    <w:rsid w:val="00007818"/>
    <w:rsid w:val="000110DF"/>
    <w:rsid w:val="000242FE"/>
    <w:rsid w:val="00025080"/>
    <w:rsid w:val="00025F41"/>
    <w:rsid w:val="000276D9"/>
    <w:rsid w:val="000307C9"/>
    <w:rsid w:val="00040AD3"/>
    <w:rsid w:val="000420BE"/>
    <w:rsid w:val="00043C1D"/>
    <w:rsid w:val="00045B24"/>
    <w:rsid w:val="00046406"/>
    <w:rsid w:val="00050FF0"/>
    <w:rsid w:val="00053807"/>
    <w:rsid w:val="000572E5"/>
    <w:rsid w:val="00061541"/>
    <w:rsid w:val="000628CC"/>
    <w:rsid w:val="00064162"/>
    <w:rsid w:val="00065C22"/>
    <w:rsid w:val="00074464"/>
    <w:rsid w:val="00075AF8"/>
    <w:rsid w:val="00076030"/>
    <w:rsid w:val="00082590"/>
    <w:rsid w:val="0008558C"/>
    <w:rsid w:val="0009097B"/>
    <w:rsid w:val="000913C3"/>
    <w:rsid w:val="000953B9"/>
    <w:rsid w:val="00096284"/>
    <w:rsid w:val="000A1B3B"/>
    <w:rsid w:val="000A413B"/>
    <w:rsid w:val="000A6279"/>
    <w:rsid w:val="000B0B77"/>
    <w:rsid w:val="000B496B"/>
    <w:rsid w:val="000C3940"/>
    <w:rsid w:val="000C5992"/>
    <w:rsid w:val="000C704C"/>
    <w:rsid w:val="000D28AF"/>
    <w:rsid w:val="000D4D6E"/>
    <w:rsid w:val="000D6DC1"/>
    <w:rsid w:val="000E1479"/>
    <w:rsid w:val="000E231E"/>
    <w:rsid w:val="000E247D"/>
    <w:rsid w:val="000E6B14"/>
    <w:rsid w:val="000E70D8"/>
    <w:rsid w:val="000F23B5"/>
    <w:rsid w:val="001062F6"/>
    <w:rsid w:val="00112FC7"/>
    <w:rsid w:val="0012332C"/>
    <w:rsid w:val="00125F5F"/>
    <w:rsid w:val="00126951"/>
    <w:rsid w:val="00126B60"/>
    <w:rsid w:val="00127EF6"/>
    <w:rsid w:val="001310AD"/>
    <w:rsid w:val="001314A5"/>
    <w:rsid w:val="00132606"/>
    <w:rsid w:val="00132A0E"/>
    <w:rsid w:val="00132C7F"/>
    <w:rsid w:val="00134FC2"/>
    <w:rsid w:val="00144DBE"/>
    <w:rsid w:val="001500CD"/>
    <w:rsid w:val="00151159"/>
    <w:rsid w:val="0015236A"/>
    <w:rsid w:val="00152400"/>
    <w:rsid w:val="00152C8B"/>
    <w:rsid w:val="0015636A"/>
    <w:rsid w:val="00172053"/>
    <w:rsid w:val="00177A80"/>
    <w:rsid w:val="00181317"/>
    <w:rsid w:val="00181C55"/>
    <w:rsid w:val="001A50CB"/>
    <w:rsid w:val="001A74B7"/>
    <w:rsid w:val="001B1132"/>
    <w:rsid w:val="001B2D47"/>
    <w:rsid w:val="001B4BC2"/>
    <w:rsid w:val="001C0250"/>
    <w:rsid w:val="001C6DA4"/>
    <w:rsid w:val="001C73B1"/>
    <w:rsid w:val="001D1E7D"/>
    <w:rsid w:val="001D2475"/>
    <w:rsid w:val="001D56C6"/>
    <w:rsid w:val="001D6567"/>
    <w:rsid w:val="001D6D62"/>
    <w:rsid w:val="001E2CCB"/>
    <w:rsid w:val="001E363E"/>
    <w:rsid w:val="001E4CBA"/>
    <w:rsid w:val="001E523C"/>
    <w:rsid w:val="001E56C6"/>
    <w:rsid w:val="001E61DF"/>
    <w:rsid w:val="001F034E"/>
    <w:rsid w:val="001F0B7C"/>
    <w:rsid w:val="001F2B9F"/>
    <w:rsid w:val="001F5954"/>
    <w:rsid w:val="00201C28"/>
    <w:rsid w:val="00201E9D"/>
    <w:rsid w:val="00202DD3"/>
    <w:rsid w:val="00204EA1"/>
    <w:rsid w:val="00206E7D"/>
    <w:rsid w:val="00217E14"/>
    <w:rsid w:val="00217EFD"/>
    <w:rsid w:val="0022031B"/>
    <w:rsid w:val="00222134"/>
    <w:rsid w:val="0022233F"/>
    <w:rsid w:val="00225105"/>
    <w:rsid w:val="00226275"/>
    <w:rsid w:val="002375A5"/>
    <w:rsid w:val="00241EA5"/>
    <w:rsid w:val="00246564"/>
    <w:rsid w:val="00246A3B"/>
    <w:rsid w:val="00253C27"/>
    <w:rsid w:val="00254384"/>
    <w:rsid w:val="002548C8"/>
    <w:rsid w:val="00255404"/>
    <w:rsid w:val="0025594F"/>
    <w:rsid w:val="00270C5E"/>
    <w:rsid w:val="00273331"/>
    <w:rsid w:val="00290A03"/>
    <w:rsid w:val="0029159A"/>
    <w:rsid w:val="00291600"/>
    <w:rsid w:val="002A02F4"/>
    <w:rsid w:val="002A10FE"/>
    <w:rsid w:val="002A2232"/>
    <w:rsid w:val="002A2605"/>
    <w:rsid w:val="002A4215"/>
    <w:rsid w:val="002C2C41"/>
    <w:rsid w:val="002C62E7"/>
    <w:rsid w:val="002D36E8"/>
    <w:rsid w:val="002D4621"/>
    <w:rsid w:val="002E05E2"/>
    <w:rsid w:val="002E2DD6"/>
    <w:rsid w:val="002E3F28"/>
    <w:rsid w:val="002E4C1E"/>
    <w:rsid w:val="002E7D1E"/>
    <w:rsid w:val="002F0E52"/>
    <w:rsid w:val="002F2274"/>
    <w:rsid w:val="002F2405"/>
    <w:rsid w:val="002F2643"/>
    <w:rsid w:val="002F690F"/>
    <w:rsid w:val="0030301F"/>
    <w:rsid w:val="00303B21"/>
    <w:rsid w:val="003043FA"/>
    <w:rsid w:val="00313701"/>
    <w:rsid w:val="00314430"/>
    <w:rsid w:val="00315B38"/>
    <w:rsid w:val="00316188"/>
    <w:rsid w:val="003171AF"/>
    <w:rsid w:val="00317469"/>
    <w:rsid w:val="00317EB9"/>
    <w:rsid w:val="0032215C"/>
    <w:rsid w:val="0032616B"/>
    <w:rsid w:val="00326687"/>
    <w:rsid w:val="003275F9"/>
    <w:rsid w:val="00332DF3"/>
    <w:rsid w:val="003355AC"/>
    <w:rsid w:val="00340777"/>
    <w:rsid w:val="00343D6B"/>
    <w:rsid w:val="00347FB5"/>
    <w:rsid w:val="00355515"/>
    <w:rsid w:val="003608B5"/>
    <w:rsid w:val="003613AF"/>
    <w:rsid w:val="003809CD"/>
    <w:rsid w:val="003878C1"/>
    <w:rsid w:val="00396C0B"/>
    <w:rsid w:val="003A43A6"/>
    <w:rsid w:val="003A630F"/>
    <w:rsid w:val="003B066D"/>
    <w:rsid w:val="003B2E31"/>
    <w:rsid w:val="003B3958"/>
    <w:rsid w:val="003B4820"/>
    <w:rsid w:val="003B5F4B"/>
    <w:rsid w:val="003B682F"/>
    <w:rsid w:val="003C4ADB"/>
    <w:rsid w:val="003C4BF8"/>
    <w:rsid w:val="003C53FC"/>
    <w:rsid w:val="003C5B2B"/>
    <w:rsid w:val="003C7013"/>
    <w:rsid w:val="003D40AE"/>
    <w:rsid w:val="003D58E1"/>
    <w:rsid w:val="003D641B"/>
    <w:rsid w:val="003E4679"/>
    <w:rsid w:val="003F227C"/>
    <w:rsid w:val="003F7AB9"/>
    <w:rsid w:val="004023CC"/>
    <w:rsid w:val="00407564"/>
    <w:rsid w:val="00411152"/>
    <w:rsid w:val="004156AA"/>
    <w:rsid w:val="00423F68"/>
    <w:rsid w:val="004253A1"/>
    <w:rsid w:val="004313B6"/>
    <w:rsid w:val="00433339"/>
    <w:rsid w:val="004341DE"/>
    <w:rsid w:val="00441968"/>
    <w:rsid w:val="00446BBC"/>
    <w:rsid w:val="00446EB8"/>
    <w:rsid w:val="004472C0"/>
    <w:rsid w:val="00450705"/>
    <w:rsid w:val="00451928"/>
    <w:rsid w:val="004539A8"/>
    <w:rsid w:val="004567DE"/>
    <w:rsid w:val="0046618B"/>
    <w:rsid w:val="00472F3D"/>
    <w:rsid w:val="00475711"/>
    <w:rsid w:val="00475D88"/>
    <w:rsid w:val="00481A1F"/>
    <w:rsid w:val="004829D4"/>
    <w:rsid w:val="004852D2"/>
    <w:rsid w:val="0048608C"/>
    <w:rsid w:val="00496E57"/>
    <w:rsid w:val="004A14B8"/>
    <w:rsid w:val="004A1D86"/>
    <w:rsid w:val="004A341A"/>
    <w:rsid w:val="004A6648"/>
    <w:rsid w:val="004B0366"/>
    <w:rsid w:val="004B15DE"/>
    <w:rsid w:val="004B3E10"/>
    <w:rsid w:val="004C0F5D"/>
    <w:rsid w:val="004C375A"/>
    <w:rsid w:val="004C4954"/>
    <w:rsid w:val="004C5767"/>
    <w:rsid w:val="004D5322"/>
    <w:rsid w:val="004D78B0"/>
    <w:rsid w:val="004E442F"/>
    <w:rsid w:val="004E611F"/>
    <w:rsid w:val="004F2A34"/>
    <w:rsid w:val="004F2A79"/>
    <w:rsid w:val="004F4824"/>
    <w:rsid w:val="004F4D37"/>
    <w:rsid w:val="004F7521"/>
    <w:rsid w:val="00501702"/>
    <w:rsid w:val="00501A14"/>
    <w:rsid w:val="00501DE3"/>
    <w:rsid w:val="005058CB"/>
    <w:rsid w:val="00507DA1"/>
    <w:rsid w:val="0051044D"/>
    <w:rsid w:val="005139E4"/>
    <w:rsid w:val="00515075"/>
    <w:rsid w:val="00520FE9"/>
    <w:rsid w:val="005233E7"/>
    <w:rsid w:val="005328B2"/>
    <w:rsid w:val="00535BD5"/>
    <w:rsid w:val="00540977"/>
    <w:rsid w:val="00541100"/>
    <w:rsid w:val="00543271"/>
    <w:rsid w:val="005445DB"/>
    <w:rsid w:val="00550A68"/>
    <w:rsid w:val="00551668"/>
    <w:rsid w:val="005572D5"/>
    <w:rsid w:val="00561AF7"/>
    <w:rsid w:val="00566BE4"/>
    <w:rsid w:val="005704B3"/>
    <w:rsid w:val="0057097D"/>
    <w:rsid w:val="00570D21"/>
    <w:rsid w:val="00573A2F"/>
    <w:rsid w:val="0057404B"/>
    <w:rsid w:val="00574F3C"/>
    <w:rsid w:val="00575D2C"/>
    <w:rsid w:val="00576113"/>
    <w:rsid w:val="00590652"/>
    <w:rsid w:val="0059235F"/>
    <w:rsid w:val="00596936"/>
    <w:rsid w:val="005A2F1E"/>
    <w:rsid w:val="005A4232"/>
    <w:rsid w:val="005A6579"/>
    <w:rsid w:val="005C3616"/>
    <w:rsid w:val="005D36B2"/>
    <w:rsid w:val="005D4789"/>
    <w:rsid w:val="005D52E7"/>
    <w:rsid w:val="005D6F5D"/>
    <w:rsid w:val="005D78B5"/>
    <w:rsid w:val="005E10EC"/>
    <w:rsid w:val="005E27F2"/>
    <w:rsid w:val="005E3572"/>
    <w:rsid w:val="005E45E4"/>
    <w:rsid w:val="005E5B0B"/>
    <w:rsid w:val="005F0A81"/>
    <w:rsid w:val="005F0FCF"/>
    <w:rsid w:val="005F44D8"/>
    <w:rsid w:val="0060042F"/>
    <w:rsid w:val="006008BC"/>
    <w:rsid w:val="00602CFD"/>
    <w:rsid w:val="00604568"/>
    <w:rsid w:val="00606B55"/>
    <w:rsid w:val="00612A7B"/>
    <w:rsid w:val="00613801"/>
    <w:rsid w:val="00616787"/>
    <w:rsid w:val="00616E5E"/>
    <w:rsid w:val="006173A4"/>
    <w:rsid w:val="006203E4"/>
    <w:rsid w:val="006205AD"/>
    <w:rsid w:val="006247B9"/>
    <w:rsid w:val="00625C3A"/>
    <w:rsid w:val="00635763"/>
    <w:rsid w:val="00635DDB"/>
    <w:rsid w:val="006374F3"/>
    <w:rsid w:val="0064149A"/>
    <w:rsid w:val="006428E2"/>
    <w:rsid w:val="00646DFE"/>
    <w:rsid w:val="00650530"/>
    <w:rsid w:val="00650C96"/>
    <w:rsid w:val="00653788"/>
    <w:rsid w:val="0065477F"/>
    <w:rsid w:val="00656896"/>
    <w:rsid w:val="00661656"/>
    <w:rsid w:val="00670106"/>
    <w:rsid w:val="00674486"/>
    <w:rsid w:val="00677C65"/>
    <w:rsid w:val="00681A71"/>
    <w:rsid w:val="006826ED"/>
    <w:rsid w:val="0068761D"/>
    <w:rsid w:val="00691450"/>
    <w:rsid w:val="00693152"/>
    <w:rsid w:val="00694FAE"/>
    <w:rsid w:val="00695B09"/>
    <w:rsid w:val="00696E3A"/>
    <w:rsid w:val="006A0834"/>
    <w:rsid w:val="006A4BBD"/>
    <w:rsid w:val="006A52F1"/>
    <w:rsid w:val="006B561D"/>
    <w:rsid w:val="006B6D5D"/>
    <w:rsid w:val="006C1731"/>
    <w:rsid w:val="006C5656"/>
    <w:rsid w:val="006D2330"/>
    <w:rsid w:val="006D3416"/>
    <w:rsid w:val="006D5BCC"/>
    <w:rsid w:val="006D7463"/>
    <w:rsid w:val="006D7CA6"/>
    <w:rsid w:val="006E0F8B"/>
    <w:rsid w:val="006E12F7"/>
    <w:rsid w:val="006E2731"/>
    <w:rsid w:val="006E591A"/>
    <w:rsid w:val="006E5AA1"/>
    <w:rsid w:val="006F54E3"/>
    <w:rsid w:val="007068A4"/>
    <w:rsid w:val="00706D67"/>
    <w:rsid w:val="00713052"/>
    <w:rsid w:val="00717F73"/>
    <w:rsid w:val="00721367"/>
    <w:rsid w:val="007231FA"/>
    <w:rsid w:val="0072648F"/>
    <w:rsid w:val="00726B3D"/>
    <w:rsid w:val="00732C67"/>
    <w:rsid w:val="00733869"/>
    <w:rsid w:val="00734418"/>
    <w:rsid w:val="00757826"/>
    <w:rsid w:val="007632B7"/>
    <w:rsid w:val="0076333F"/>
    <w:rsid w:val="0076382F"/>
    <w:rsid w:val="00764718"/>
    <w:rsid w:val="007649C9"/>
    <w:rsid w:val="00765768"/>
    <w:rsid w:val="00765D10"/>
    <w:rsid w:val="00766AC8"/>
    <w:rsid w:val="00767486"/>
    <w:rsid w:val="0077070E"/>
    <w:rsid w:val="0077296A"/>
    <w:rsid w:val="00773894"/>
    <w:rsid w:val="00777829"/>
    <w:rsid w:val="00777CA4"/>
    <w:rsid w:val="00780009"/>
    <w:rsid w:val="00784755"/>
    <w:rsid w:val="0079145E"/>
    <w:rsid w:val="00792DF0"/>
    <w:rsid w:val="0079438F"/>
    <w:rsid w:val="007A3034"/>
    <w:rsid w:val="007A527E"/>
    <w:rsid w:val="007A53E7"/>
    <w:rsid w:val="007A78F7"/>
    <w:rsid w:val="007B2BB8"/>
    <w:rsid w:val="007B3333"/>
    <w:rsid w:val="007B337D"/>
    <w:rsid w:val="007B379F"/>
    <w:rsid w:val="007B37D6"/>
    <w:rsid w:val="007B5D30"/>
    <w:rsid w:val="007B5FC1"/>
    <w:rsid w:val="007C6F73"/>
    <w:rsid w:val="007C7DB3"/>
    <w:rsid w:val="007D2920"/>
    <w:rsid w:val="007D361D"/>
    <w:rsid w:val="007D42DD"/>
    <w:rsid w:val="007D522F"/>
    <w:rsid w:val="007E6A37"/>
    <w:rsid w:val="007E76DC"/>
    <w:rsid w:val="007F1774"/>
    <w:rsid w:val="00811A70"/>
    <w:rsid w:val="0081406E"/>
    <w:rsid w:val="008157C7"/>
    <w:rsid w:val="0081618A"/>
    <w:rsid w:val="00821232"/>
    <w:rsid w:val="00821293"/>
    <w:rsid w:val="00826013"/>
    <w:rsid w:val="00832211"/>
    <w:rsid w:val="008325F4"/>
    <w:rsid w:val="00832AC8"/>
    <w:rsid w:val="008367FB"/>
    <w:rsid w:val="00846FA4"/>
    <w:rsid w:val="008524BA"/>
    <w:rsid w:val="00852B74"/>
    <w:rsid w:val="008536F9"/>
    <w:rsid w:val="00856928"/>
    <w:rsid w:val="00857D88"/>
    <w:rsid w:val="008602A3"/>
    <w:rsid w:val="00860D94"/>
    <w:rsid w:val="00865538"/>
    <w:rsid w:val="00870875"/>
    <w:rsid w:val="0088225C"/>
    <w:rsid w:val="00884026"/>
    <w:rsid w:val="00884C78"/>
    <w:rsid w:val="008859E1"/>
    <w:rsid w:val="0088761A"/>
    <w:rsid w:val="00891270"/>
    <w:rsid w:val="00896264"/>
    <w:rsid w:val="008A0C29"/>
    <w:rsid w:val="008A5D88"/>
    <w:rsid w:val="008B2851"/>
    <w:rsid w:val="008C000E"/>
    <w:rsid w:val="008C00F5"/>
    <w:rsid w:val="008D0F2F"/>
    <w:rsid w:val="008D237F"/>
    <w:rsid w:val="008D3FD8"/>
    <w:rsid w:val="008D6B05"/>
    <w:rsid w:val="008E7D2D"/>
    <w:rsid w:val="008E7D6E"/>
    <w:rsid w:val="008F44C0"/>
    <w:rsid w:val="008F5999"/>
    <w:rsid w:val="00903AD6"/>
    <w:rsid w:val="00904D7A"/>
    <w:rsid w:val="00907900"/>
    <w:rsid w:val="00915332"/>
    <w:rsid w:val="009204BB"/>
    <w:rsid w:val="009218B8"/>
    <w:rsid w:val="00924CC9"/>
    <w:rsid w:val="00925B83"/>
    <w:rsid w:val="0093282C"/>
    <w:rsid w:val="00932E2D"/>
    <w:rsid w:val="00935918"/>
    <w:rsid w:val="00935EC3"/>
    <w:rsid w:val="00951097"/>
    <w:rsid w:val="00953C1E"/>
    <w:rsid w:val="009557F2"/>
    <w:rsid w:val="0096210F"/>
    <w:rsid w:val="00962633"/>
    <w:rsid w:val="00963187"/>
    <w:rsid w:val="00963ACF"/>
    <w:rsid w:val="00963D1C"/>
    <w:rsid w:val="00964284"/>
    <w:rsid w:val="00966301"/>
    <w:rsid w:val="0097028A"/>
    <w:rsid w:val="0097299B"/>
    <w:rsid w:val="00973BD6"/>
    <w:rsid w:val="00981487"/>
    <w:rsid w:val="00981E8D"/>
    <w:rsid w:val="00984549"/>
    <w:rsid w:val="00985D28"/>
    <w:rsid w:val="00990A3B"/>
    <w:rsid w:val="00991BF0"/>
    <w:rsid w:val="009A07D8"/>
    <w:rsid w:val="009A0F50"/>
    <w:rsid w:val="009A0FB1"/>
    <w:rsid w:val="009A1FAC"/>
    <w:rsid w:val="009A2EE8"/>
    <w:rsid w:val="009A39DD"/>
    <w:rsid w:val="009B001A"/>
    <w:rsid w:val="009B1A62"/>
    <w:rsid w:val="009B3196"/>
    <w:rsid w:val="009B53CD"/>
    <w:rsid w:val="009C3CC7"/>
    <w:rsid w:val="009D087E"/>
    <w:rsid w:val="009D1D4A"/>
    <w:rsid w:val="009D2057"/>
    <w:rsid w:val="009D3D6C"/>
    <w:rsid w:val="009D5551"/>
    <w:rsid w:val="009D62DB"/>
    <w:rsid w:val="009E1243"/>
    <w:rsid w:val="009E3B42"/>
    <w:rsid w:val="009F220D"/>
    <w:rsid w:val="009F5BE0"/>
    <w:rsid w:val="00A05B60"/>
    <w:rsid w:val="00A13266"/>
    <w:rsid w:val="00A14FA6"/>
    <w:rsid w:val="00A15D64"/>
    <w:rsid w:val="00A20575"/>
    <w:rsid w:val="00A25414"/>
    <w:rsid w:val="00A32452"/>
    <w:rsid w:val="00A32BBF"/>
    <w:rsid w:val="00A37444"/>
    <w:rsid w:val="00A4281A"/>
    <w:rsid w:val="00A459CF"/>
    <w:rsid w:val="00A5014D"/>
    <w:rsid w:val="00A50E46"/>
    <w:rsid w:val="00A53E96"/>
    <w:rsid w:val="00A56F18"/>
    <w:rsid w:val="00A61DBD"/>
    <w:rsid w:val="00A628F8"/>
    <w:rsid w:val="00A62BAA"/>
    <w:rsid w:val="00A66172"/>
    <w:rsid w:val="00A72595"/>
    <w:rsid w:val="00A73BDF"/>
    <w:rsid w:val="00A744C3"/>
    <w:rsid w:val="00A82B52"/>
    <w:rsid w:val="00AA18CA"/>
    <w:rsid w:val="00AA70AB"/>
    <w:rsid w:val="00AB0997"/>
    <w:rsid w:val="00AB0B9F"/>
    <w:rsid w:val="00AB1713"/>
    <w:rsid w:val="00AB184C"/>
    <w:rsid w:val="00AB2728"/>
    <w:rsid w:val="00AB63BE"/>
    <w:rsid w:val="00AC1EBC"/>
    <w:rsid w:val="00AC2599"/>
    <w:rsid w:val="00AC2DE9"/>
    <w:rsid w:val="00AC2FCF"/>
    <w:rsid w:val="00AC38B4"/>
    <w:rsid w:val="00AD2C5F"/>
    <w:rsid w:val="00AD512D"/>
    <w:rsid w:val="00AE1481"/>
    <w:rsid w:val="00AE27F9"/>
    <w:rsid w:val="00AE4810"/>
    <w:rsid w:val="00AE7567"/>
    <w:rsid w:val="00AE77DB"/>
    <w:rsid w:val="00AF0891"/>
    <w:rsid w:val="00AF205D"/>
    <w:rsid w:val="00AF464F"/>
    <w:rsid w:val="00AF7453"/>
    <w:rsid w:val="00AF75E0"/>
    <w:rsid w:val="00AF7A63"/>
    <w:rsid w:val="00B00FFF"/>
    <w:rsid w:val="00B01824"/>
    <w:rsid w:val="00B03CEF"/>
    <w:rsid w:val="00B06084"/>
    <w:rsid w:val="00B10D47"/>
    <w:rsid w:val="00B16735"/>
    <w:rsid w:val="00B17EDE"/>
    <w:rsid w:val="00B22585"/>
    <w:rsid w:val="00B31238"/>
    <w:rsid w:val="00B33693"/>
    <w:rsid w:val="00B34C53"/>
    <w:rsid w:val="00B44FAD"/>
    <w:rsid w:val="00B507A5"/>
    <w:rsid w:val="00B52475"/>
    <w:rsid w:val="00B52867"/>
    <w:rsid w:val="00B535DA"/>
    <w:rsid w:val="00B56DCC"/>
    <w:rsid w:val="00B56F54"/>
    <w:rsid w:val="00B638C2"/>
    <w:rsid w:val="00B745D7"/>
    <w:rsid w:val="00B758AB"/>
    <w:rsid w:val="00B76277"/>
    <w:rsid w:val="00B772AB"/>
    <w:rsid w:val="00B80395"/>
    <w:rsid w:val="00B80B56"/>
    <w:rsid w:val="00B83801"/>
    <w:rsid w:val="00B86372"/>
    <w:rsid w:val="00B97C3E"/>
    <w:rsid w:val="00BA1C17"/>
    <w:rsid w:val="00BA1D65"/>
    <w:rsid w:val="00BA5CC5"/>
    <w:rsid w:val="00BA75F6"/>
    <w:rsid w:val="00BB3B4D"/>
    <w:rsid w:val="00BB6482"/>
    <w:rsid w:val="00BC351E"/>
    <w:rsid w:val="00BC3F77"/>
    <w:rsid w:val="00BC46EE"/>
    <w:rsid w:val="00BC5635"/>
    <w:rsid w:val="00BC5675"/>
    <w:rsid w:val="00BD081C"/>
    <w:rsid w:val="00BD277B"/>
    <w:rsid w:val="00BD47CA"/>
    <w:rsid w:val="00BD62C7"/>
    <w:rsid w:val="00BE020D"/>
    <w:rsid w:val="00BE354A"/>
    <w:rsid w:val="00BE6011"/>
    <w:rsid w:val="00BE63F3"/>
    <w:rsid w:val="00BE721D"/>
    <w:rsid w:val="00BF5EEF"/>
    <w:rsid w:val="00C00A1C"/>
    <w:rsid w:val="00C02553"/>
    <w:rsid w:val="00C04EB6"/>
    <w:rsid w:val="00C056F9"/>
    <w:rsid w:val="00C1018C"/>
    <w:rsid w:val="00C10C74"/>
    <w:rsid w:val="00C1150E"/>
    <w:rsid w:val="00C14D52"/>
    <w:rsid w:val="00C2586C"/>
    <w:rsid w:val="00C26001"/>
    <w:rsid w:val="00C34E72"/>
    <w:rsid w:val="00C40EC8"/>
    <w:rsid w:val="00C4430E"/>
    <w:rsid w:val="00C50850"/>
    <w:rsid w:val="00C50B95"/>
    <w:rsid w:val="00C5415E"/>
    <w:rsid w:val="00C541C9"/>
    <w:rsid w:val="00C56B1F"/>
    <w:rsid w:val="00C61B52"/>
    <w:rsid w:val="00C61D3A"/>
    <w:rsid w:val="00C62745"/>
    <w:rsid w:val="00C654CA"/>
    <w:rsid w:val="00C669CB"/>
    <w:rsid w:val="00C675A9"/>
    <w:rsid w:val="00C72F1F"/>
    <w:rsid w:val="00C75656"/>
    <w:rsid w:val="00C763BD"/>
    <w:rsid w:val="00C779A8"/>
    <w:rsid w:val="00C82E19"/>
    <w:rsid w:val="00C93816"/>
    <w:rsid w:val="00C96873"/>
    <w:rsid w:val="00C968DA"/>
    <w:rsid w:val="00CA1735"/>
    <w:rsid w:val="00CA3198"/>
    <w:rsid w:val="00CA3C4B"/>
    <w:rsid w:val="00CA657F"/>
    <w:rsid w:val="00CA7252"/>
    <w:rsid w:val="00CB2C5A"/>
    <w:rsid w:val="00CE0C1C"/>
    <w:rsid w:val="00CE17A1"/>
    <w:rsid w:val="00CE34AF"/>
    <w:rsid w:val="00CE4651"/>
    <w:rsid w:val="00CF00A4"/>
    <w:rsid w:val="00CF25FB"/>
    <w:rsid w:val="00CF614C"/>
    <w:rsid w:val="00D015C6"/>
    <w:rsid w:val="00D02F34"/>
    <w:rsid w:val="00D13D87"/>
    <w:rsid w:val="00D16590"/>
    <w:rsid w:val="00D20720"/>
    <w:rsid w:val="00D250D9"/>
    <w:rsid w:val="00D27533"/>
    <w:rsid w:val="00D30337"/>
    <w:rsid w:val="00D30B47"/>
    <w:rsid w:val="00D30D11"/>
    <w:rsid w:val="00D31558"/>
    <w:rsid w:val="00D32607"/>
    <w:rsid w:val="00D40AF8"/>
    <w:rsid w:val="00D42DA3"/>
    <w:rsid w:val="00D4546D"/>
    <w:rsid w:val="00D47996"/>
    <w:rsid w:val="00D53030"/>
    <w:rsid w:val="00D61118"/>
    <w:rsid w:val="00D614F1"/>
    <w:rsid w:val="00D67D5F"/>
    <w:rsid w:val="00D70D50"/>
    <w:rsid w:val="00D71917"/>
    <w:rsid w:val="00D81268"/>
    <w:rsid w:val="00D8186A"/>
    <w:rsid w:val="00D91BE7"/>
    <w:rsid w:val="00D92013"/>
    <w:rsid w:val="00D95C67"/>
    <w:rsid w:val="00DA3A0F"/>
    <w:rsid w:val="00DA4E62"/>
    <w:rsid w:val="00DA6990"/>
    <w:rsid w:val="00DB010E"/>
    <w:rsid w:val="00DB22C4"/>
    <w:rsid w:val="00DB27BA"/>
    <w:rsid w:val="00DB337A"/>
    <w:rsid w:val="00DC51CB"/>
    <w:rsid w:val="00DD4819"/>
    <w:rsid w:val="00DD4B8A"/>
    <w:rsid w:val="00DD5403"/>
    <w:rsid w:val="00DD6002"/>
    <w:rsid w:val="00DE1388"/>
    <w:rsid w:val="00DE1430"/>
    <w:rsid w:val="00DE1BC9"/>
    <w:rsid w:val="00DE7501"/>
    <w:rsid w:val="00DF3146"/>
    <w:rsid w:val="00DF57C3"/>
    <w:rsid w:val="00E008D9"/>
    <w:rsid w:val="00E02FE0"/>
    <w:rsid w:val="00E0365F"/>
    <w:rsid w:val="00E07ABE"/>
    <w:rsid w:val="00E10BEB"/>
    <w:rsid w:val="00E11A3F"/>
    <w:rsid w:val="00E1386E"/>
    <w:rsid w:val="00E2369B"/>
    <w:rsid w:val="00E237C9"/>
    <w:rsid w:val="00E23EC0"/>
    <w:rsid w:val="00E25FF2"/>
    <w:rsid w:val="00E33382"/>
    <w:rsid w:val="00E3397C"/>
    <w:rsid w:val="00E3518A"/>
    <w:rsid w:val="00E354AA"/>
    <w:rsid w:val="00E43D54"/>
    <w:rsid w:val="00E442FB"/>
    <w:rsid w:val="00E529DB"/>
    <w:rsid w:val="00E538D7"/>
    <w:rsid w:val="00E53A5E"/>
    <w:rsid w:val="00E55047"/>
    <w:rsid w:val="00E55C6B"/>
    <w:rsid w:val="00E63DC2"/>
    <w:rsid w:val="00E6466A"/>
    <w:rsid w:val="00E72221"/>
    <w:rsid w:val="00E74C93"/>
    <w:rsid w:val="00E8232F"/>
    <w:rsid w:val="00E83428"/>
    <w:rsid w:val="00E84C58"/>
    <w:rsid w:val="00E853F1"/>
    <w:rsid w:val="00E873A5"/>
    <w:rsid w:val="00E90755"/>
    <w:rsid w:val="00E90D11"/>
    <w:rsid w:val="00E915E5"/>
    <w:rsid w:val="00EA042C"/>
    <w:rsid w:val="00EA16D7"/>
    <w:rsid w:val="00EA3ABB"/>
    <w:rsid w:val="00EA48BD"/>
    <w:rsid w:val="00EB0367"/>
    <w:rsid w:val="00EB443D"/>
    <w:rsid w:val="00EB4FB9"/>
    <w:rsid w:val="00EB548F"/>
    <w:rsid w:val="00EB588F"/>
    <w:rsid w:val="00EB5BC8"/>
    <w:rsid w:val="00EB7134"/>
    <w:rsid w:val="00EC24ED"/>
    <w:rsid w:val="00EC2738"/>
    <w:rsid w:val="00ED2C4E"/>
    <w:rsid w:val="00ED7B42"/>
    <w:rsid w:val="00EE3AC7"/>
    <w:rsid w:val="00EE3EA5"/>
    <w:rsid w:val="00EE4117"/>
    <w:rsid w:val="00EE613F"/>
    <w:rsid w:val="00EE6BD1"/>
    <w:rsid w:val="00EE7F2C"/>
    <w:rsid w:val="00EF0262"/>
    <w:rsid w:val="00EF0828"/>
    <w:rsid w:val="00EF6F8B"/>
    <w:rsid w:val="00F03898"/>
    <w:rsid w:val="00F0487D"/>
    <w:rsid w:val="00F1300F"/>
    <w:rsid w:val="00F14914"/>
    <w:rsid w:val="00F1527A"/>
    <w:rsid w:val="00F17BCF"/>
    <w:rsid w:val="00F2019E"/>
    <w:rsid w:val="00F25100"/>
    <w:rsid w:val="00F2696B"/>
    <w:rsid w:val="00F27821"/>
    <w:rsid w:val="00F33B3F"/>
    <w:rsid w:val="00F4092A"/>
    <w:rsid w:val="00F41F69"/>
    <w:rsid w:val="00F4348E"/>
    <w:rsid w:val="00F43E41"/>
    <w:rsid w:val="00F46C9D"/>
    <w:rsid w:val="00F4790C"/>
    <w:rsid w:val="00F50C4B"/>
    <w:rsid w:val="00F54C08"/>
    <w:rsid w:val="00F553A2"/>
    <w:rsid w:val="00F6068C"/>
    <w:rsid w:val="00F62F33"/>
    <w:rsid w:val="00F63A52"/>
    <w:rsid w:val="00F67861"/>
    <w:rsid w:val="00F730BA"/>
    <w:rsid w:val="00F73D61"/>
    <w:rsid w:val="00F8728D"/>
    <w:rsid w:val="00F903BE"/>
    <w:rsid w:val="00F9492C"/>
    <w:rsid w:val="00F94FF0"/>
    <w:rsid w:val="00F95D04"/>
    <w:rsid w:val="00F9666C"/>
    <w:rsid w:val="00FA16EC"/>
    <w:rsid w:val="00FA1DBC"/>
    <w:rsid w:val="00FA2811"/>
    <w:rsid w:val="00FA4837"/>
    <w:rsid w:val="00FA6B76"/>
    <w:rsid w:val="00FB1D33"/>
    <w:rsid w:val="00FB4A66"/>
    <w:rsid w:val="00FB5E96"/>
    <w:rsid w:val="00FC05A0"/>
    <w:rsid w:val="00FC0EE1"/>
    <w:rsid w:val="00FC1DA1"/>
    <w:rsid w:val="00FC6758"/>
    <w:rsid w:val="00FD09B4"/>
    <w:rsid w:val="00FD1190"/>
    <w:rsid w:val="00FD34EA"/>
    <w:rsid w:val="00FD6362"/>
    <w:rsid w:val="00FE3F3E"/>
    <w:rsid w:val="00FE4D52"/>
    <w:rsid w:val="00FE5AEE"/>
    <w:rsid w:val="00FF106B"/>
    <w:rsid w:val="00FF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E4"/>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5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3A43A6"/>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2E7D1E"/>
    <w:rPr>
      <w:sz w:val="16"/>
      <w:szCs w:val="16"/>
    </w:rPr>
  </w:style>
  <w:style w:type="paragraph" w:styleId="CommentSubject">
    <w:name w:val="annotation subject"/>
    <w:basedOn w:val="CommentText"/>
    <w:next w:val="CommentText"/>
    <w:link w:val="CommentSubjectChar"/>
    <w:uiPriority w:val="99"/>
    <w:semiHidden/>
    <w:unhideWhenUsed/>
    <w:rsid w:val="002E7D1E"/>
    <w:rPr>
      <w:b/>
      <w:bCs/>
    </w:rPr>
  </w:style>
  <w:style w:type="character" w:customStyle="1" w:styleId="CommentTextChar">
    <w:name w:val="Comment Text Char"/>
    <w:basedOn w:val="DefaultParagraphFont"/>
    <w:link w:val="CommentText"/>
    <w:semiHidden/>
    <w:rsid w:val="002E7D1E"/>
    <w:rPr>
      <w:rFonts w:ascii="Arial" w:hAnsi="Arial"/>
    </w:rPr>
  </w:style>
  <w:style w:type="character" w:customStyle="1" w:styleId="CommentSubjectChar">
    <w:name w:val="Comment Subject Char"/>
    <w:basedOn w:val="CommentTextChar"/>
    <w:link w:val="CommentSubject"/>
    <w:uiPriority w:val="99"/>
    <w:semiHidden/>
    <w:rsid w:val="002E7D1E"/>
    <w:rPr>
      <w:rFonts w:ascii="Arial" w:hAnsi="Arial"/>
      <w:b/>
      <w:bCs/>
    </w:rPr>
  </w:style>
  <w:style w:type="paragraph" w:customStyle="1" w:styleId="Style2">
    <w:name w:val="Style2"/>
    <w:basedOn w:val="Heading1"/>
    <w:link w:val="Style2Char"/>
    <w:qFormat/>
    <w:rsid w:val="00BC46EE"/>
    <w:pPr>
      <w:spacing w:before="120" w:after="120" w:line="240" w:lineRule="auto"/>
      <w:jc w:val="left"/>
    </w:pPr>
    <w:rPr>
      <w:color w:val="002060"/>
      <w:sz w:val="32"/>
      <w:szCs w:val="32"/>
      <w:lang w:val="en-US"/>
    </w:rPr>
  </w:style>
  <w:style w:type="character" w:customStyle="1" w:styleId="Style2Char">
    <w:name w:val="Style2 Char"/>
    <w:basedOn w:val="Heading1Char"/>
    <w:link w:val="Style2"/>
    <w:rsid w:val="00BC46EE"/>
    <w:rPr>
      <w:rFonts w:ascii="Arial" w:hAnsi="Arial" w:cs="Arial"/>
      <w:b/>
      <w:color w:val="002060"/>
      <w:sz w:val="32"/>
      <w:szCs w:val="32"/>
      <w:lang w:val="it-IT"/>
    </w:rPr>
  </w:style>
  <w:style w:type="paragraph" w:styleId="Revision">
    <w:name w:val="Revision"/>
    <w:hidden/>
    <w:uiPriority w:val="99"/>
    <w:semiHidden/>
    <w:rsid w:val="0004640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E0E7906A648DA8DC49096E6EE3A6C"/>
        <w:category>
          <w:name w:val="General"/>
          <w:gallery w:val="placeholder"/>
        </w:category>
        <w:types>
          <w:type w:val="bbPlcHdr"/>
        </w:types>
        <w:behaviors>
          <w:behavior w:val="content"/>
        </w:behaviors>
        <w:guid w:val="{B6DFFCDE-1E18-43D1-8CB7-61594F5D9540}"/>
      </w:docPartPr>
      <w:docPartBody>
        <w:p w:rsidR="00957A84" w:rsidRDefault="00157A57" w:rsidP="00157A57">
          <w:pPr>
            <w:pStyle w:val="C12E0E7906A648DA8DC49096E6EE3A6C"/>
          </w:pPr>
          <w:r w:rsidRPr="00790B4B">
            <w:rPr>
              <w:sz w:val="18"/>
              <w:szCs w:val="18"/>
              <w:shd w:val="clear" w:color="auto" w:fill="FFFFFF"/>
            </w:rPr>
            <w:t>Place of publication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57"/>
    <w:rsid w:val="000110DF"/>
    <w:rsid w:val="000420BE"/>
    <w:rsid w:val="00075AF8"/>
    <w:rsid w:val="000A1B3B"/>
    <w:rsid w:val="00157A57"/>
    <w:rsid w:val="002F2643"/>
    <w:rsid w:val="003738C1"/>
    <w:rsid w:val="0038443E"/>
    <w:rsid w:val="00543ADF"/>
    <w:rsid w:val="005E27F2"/>
    <w:rsid w:val="0072648F"/>
    <w:rsid w:val="007F1A0F"/>
    <w:rsid w:val="00807CC2"/>
    <w:rsid w:val="008732B8"/>
    <w:rsid w:val="008A08E4"/>
    <w:rsid w:val="008D3FD8"/>
    <w:rsid w:val="00957A84"/>
    <w:rsid w:val="00A01993"/>
    <w:rsid w:val="00AE4810"/>
    <w:rsid w:val="00B37F30"/>
    <w:rsid w:val="00BF153B"/>
    <w:rsid w:val="00D30337"/>
    <w:rsid w:val="00DC1B98"/>
    <w:rsid w:val="00E468A1"/>
    <w:rsid w:val="00E61FFB"/>
    <w:rsid w:val="00E74C93"/>
    <w:rsid w:val="00EB588F"/>
    <w:rsid w:val="00EE3AC7"/>
    <w:rsid w:val="00EE7F2C"/>
    <w:rsid w:val="00F46C9D"/>
    <w:rsid w:val="00FC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2E0E7906A648DA8DC49096E6EE3A6C">
    <w:name w:val="C12E0E7906A648DA8DC49096E6EE3A6C"/>
    <w:rsid w:val="00157A57"/>
  </w:style>
  <w:style w:type="character" w:styleId="PlaceholderText">
    <w:name w:val="Placeholder Text"/>
    <w:basedOn w:val="DefaultParagraphFont"/>
    <w:uiPriority w:val="99"/>
    <w:semiHidden/>
    <w:rsid w:val="00157A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3D0FC8-D0F8-4F68-B10B-C2D44A271767}"/>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1e4a61f8-8acd-406c-9ffc-156367cd3fec"/>
    <ds:schemaRef ds:uri="54a97082-99d0-4cd5-8c93-88769c19209d"/>
    <ds:schemaRef ds:uri="http://schemas.microsoft.com/sharepoint/v3"/>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79</TotalTime>
  <Pages>6</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14507</CharactersWithSpaces>
  <SharedDoc>false</SharedDoc>
  <HLinks>
    <vt:vector size="18" baseType="variant">
      <vt:variant>
        <vt:i4>6488114</vt:i4>
      </vt:variant>
      <vt:variant>
        <vt:i4>16</vt:i4>
      </vt:variant>
      <vt:variant>
        <vt:i4>0</vt:i4>
      </vt:variant>
      <vt:variant>
        <vt:i4>5</vt:i4>
      </vt:variant>
      <vt:variant>
        <vt:lpwstr>http://www.botox.com/site/</vt:lpwstr>
      </vt:variant>
      <vt:variant>
        <vt:lpwstr/>
      </vt:variant>
      <vt:variant>
        <vt:i4>4259940</vt:i4>
      </vt:variant>
      <vt:variant>
        <vt:i4>5011</vt:i4>
      </vt:variant>
      <vt:variant>
        <vt:i4>1025</vt:i4>
      </vt:variant>
      <vt:variant>
        <vt:i4>1</vt:i4>
      </vt:variant>
      <vt:variant>
        <vt:lpwstr>M:\PROPOSAL\MARKET\GRAPHICS\H_LOGOS\LOGO_BLU.JPG</vt:lpwstr>
      </vt:variant>
      <vt:variant>
        <vt:lpwstr/>
      </vt:variant>
      <vt:variant>
        <vt:i4>1572892</vt:i4>
      </vt:variant>
      <vt:variant>
        <vt:i4>-1</vt:i4>
      </vt:variant>
      <vt:variant>
        <vt:i4>2049</vt:i4>
      </vt:variant>
      <vt:variant>
        <vt:i4>1</vt:i4>
      </vt:variant>
      <vt:variant>
        <vt:lpwstr>C:\Program Files\Microsoft Office\Clipart\Hislogo.gif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creator>DMS</dc:creator>
  <cp:lastModifiedBy>Morsches, Phuonglinh</cp:lastModifiedBy>
  <cp:revision>44</cp:revision>
  <cp:lastPrinted>2018-10-31T20:17:00Z</cp:lastPrinted>
  <dcterms:created xsi:type="dcterms:W3CDTF">2025-12-01T18:11:00Z</dcterms:created>
  <dcterms:modified xsi:type="dcterms:W3CDTF">2025-12-05T21:54:00Z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